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Integrin-linked kinase (ILK; gene ILK, isoforms ILK-1 and ILK-2) is conserved across Metazoa, with orthologues in Homo sapiens, Mus musculus, Drosophila melanogaster and Caenorhabditis elegans (~55 % identity to human) (Dedhar et al., 1999; Widmaier et al., 2012). No homologue is found in budding yeast, indicating metazoan-specific emergence (Dagnino, 2011; Qin &amp; Wu, 2012). Kinome surveys place ILK in a small clade of atypical pseudokinases (“ILK family”) outside the canonical AGC and CAMK groups (Górska &amp; Mazur, 2022; Qin &amp; Wu, 2012).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Physiologically relevant phosphoryl-transfer has not been demonstrated; ILK acts as a scaffold pseudokinase (Qin &amp; Wu, 2012; Wickström et al., 2010). Historic, now considered artefactual, assays reported:</w:t>
      </w:r>
      <w:r>
        <w:br/>
      </w:r>
      <w:r>
        <w:t xml:space="preserve">ATP + [protein] Ser/Thr ⇌ ADP + [protein]-P Ser/Thr (Maydan et al., 2010).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obligatory metal ion is required for scaffold function. Early in-vitro assays that claimed activity suggested Mn²⁺ &gt; Mg²⁺ preference (Maydan et al., 2010).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High-throughput profiling and structural studies detect no intrinsic kinase activity and define no consensus phosphorylation motif (Górska &amp; Mazur, 2022). Earlier reports of direct phosphorylation of Akt Ser473, GSK-3β Ser9, integrin-β1 Ser790 and myelin basic protein are attributable to indirect effects or contaminating kinases (Dedhar et al., 1999; Qin &amp; Wu, 2012).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Modular organisation:</w:t>
      </w:r>
      <w:r>
        <w:br/>
      </w:r>
      <w:r>
        <w:t xml:space="preserve">• Ankyrin-repeat domain (aa 33–164) binds PINCH and ILK-associated phosphatase (ILKAP).</w:t>
      </w:r>
      <w:r>
        <w:br/>
      </w:r>
      <w:r>
        <w:t xml:space="preserve">• PH-like segment (aa 180–212) engages PtdIns(3,4,5)P₃.</w:t>
      </w:r>
      <w:r>
        <w:br/>
      </w:r>
      <w:r>
        <w:t xml:space="preserve">• Catalytically deficient kinase-like domain (aa 293–451) interfaces with integrin-β cytoplasmic tails, α/β-parvin, kindlin-2 and paxillin LD1 (Fukuda et al., 2014; Nikolopoulos &amp; Turner, 2001).</w:t>
      </w:r>
    </w:p>
    <w:p>
      <w:pPr>
        <w:pStyle w:val="BodyText"/>
      </w:pPr>
      <w:r>
        <w:t xml:space="preserve">Crystal structure (PDB 3KMW) reveals a bilobal kinase fold with a mis-oriented ATP γ-phosphate; key catalytic motifs are degenerate (HRD→HCD, DFG→DVK) and the activation segment is truncated and rigid (Qin &amp; Wu, 2012). The pseudo-active site forms high-affinity contacts with α-parvin CH2, stabilising the ILK–PINCH–parvin (IPP) complex (Fukuda et al., 2014). Mutations E359K (APE region) or S343A (activation segment) abolish signalling competence (Dedhar et al., 1999; Hannigan et al., 2005).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modifications: Ser343 phosphorylation is required for downstream signalling; ubiquitylation has been reported, but sites and enzymes remain undefined (Górska &amp; Mazur, 2022; Hannigan et al., 2005).</w:t>
      </w:r>
      <w:r>
        <w:br/>
      </w:r>
      <w:r>
        <w:t xml:space="preserve">Protein/lipid modulators: PtdIns(3,4,5)P₃ binding to the PH-like domain promotes focal-adhesion recruitment, opposed by PI3-kinase inhibitors or PTEN activity (Dedhar et al., 1999; Hannigan et al., 2005). ILKAP negatively regulates signalling via the ankyrin repeats, whereas formation of the heterotrimeric IPP complex is essential for stability and localisation. Paxillin LD1 and kindlin-2 further modulate spatial distribution and adhesion assembly (Fukuda et al., 2014; Nikolopoulos &amp; Turner, 2001).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ILK is ubiquitously expressed, with highest levels in cardiac and skeletal muscle (Dedhar et al., 1999).</w:t>
      </w:r>
      <w:r>
        <w:br/>
      </w:r>
      <w:r>
        <w:t xml:space="preserve">Upstream signals: PI3-kinase products generated downstream of growth-factor receptors such as EGFR and PDGFR (Dedhar et al., 1999).</w:t>
      </w:r>
      <w:r>
        <w:br/>
      </w:r>
      <w:r>
        <w:t xml:space="preserve">Interacting partners/core complexes: PINCH, α/β-parvin, kindlin-2, paxillin, Nck-2 (Dedhar et al., 1999; Fukuda et al., 2014).</w:t>
      </w:r>
      <w:r>
        <w:br/>
      </w:r>
      <w:r>
        <w:t xml:space="preserve">Downstream effectors scaffolded: Akt, GSK-3β, β-catenin, myosin light chain and Rho GTPases (Hannigan et al., 2005; Persad &amp; Dedhar, 2003).</w:t>
      </w:r>
      <w:r>
        <w:br/>
      </w:r>
      <w:r>
        <w:t xml:space="preserve">Cellular/physiological roles: focal-adhesion assembly, F-actin bundling, cell spreading and migration (Widmaier et al., 2012); regulation of epithelial–mesenchymal transition, extracellular-matrix deposition and invasion in cancers (Hannigan et al., 2005; McDonald &amp; Dedhar, 2022); muscle attachment during embryogenesis and epiblast polarity (Sakai et al., 2003); modulation of cardiac contractility and hypertrophy signalling (Hannigan et al., 2007); facilitation of metastatic processes including invadopodia formation and therapy resistance (McDonald &amp; Dedhar,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QLT0267 and Cpd22 inhibit ILK-dependent signalling with low-micromolar cellular IC₅₀ values and are used as chemical probes; QLT0267 additionally suppresses tumour growth and angiogenesis in vivo (Górska &amp; Mazur, 2022; Hannigan et al., 2005).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ILK gene maps to chromosome 11p15.5-p15.4, a region frequently altered in human cancers (Dedhar et al., 1999). Three transcript variants encode at least two protein isoforms; ILK-2 is up-regulated in metastatic melanoma (Nikolopoulos &amp; Turner, 2001; Górska &amp; Mazur, 2022). Loss-of-function mutations are linked to dilated cardiomyopathy and muscular dystrophy (Górska &amp; Mazur, 2022). Current structural and genetic data support classification of ILK as a scaffold pseudokinase (Qin &amp; Wu, 2012; Wickström et al., 2010; Dagnino, 2011).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Dagnino, L. (2011). Integrin-linked kinase: A scaffold protein unique among its ilk. Journal of Cell Communication and Signaling, 5, 81–83. https://doi.org/10.1007/s12079-011-0124-4</w:t>
      </w:r>
    </w:p>
    <w:p>
      <w:pPr>
        <w:pStyle w:val="BodyText"/>
      </w:pPr>
      <w:r>
        <w:t xml:space="preserve">Dedhar, S., Williams, B., &amp; Hannigan, G. (1999). Integrin-linked kinase (ILK): A regulator of integrin and growth-factor signalling. Trends in Cell Biology, 9, 319–323. https://doi.org/10.1016/S0962-8924(99)01612-8</w:t>
      </w:r>
    </w:p>
    <w:p>
      <w:pPr>
        <w:pStyle w:val="BodyText"/>
      </w:pPr>
      <w:r>
        <w:t xml:space="preserve">Fukuda, K., Bledzka, K., Yang, J., Perera, H. D., Plow, E. F., &amp; Qin, J. (2014). Molecular basis of kindlin-2 binding to integrin-linked kinase pseudokinase for regulating cell adhesion. Journal of Biological Chemistry, 289, 28363–28375. https://doi.org/10.1074/jbc.M114.596692</w:t>
      </w:r>
    </w:p>
    <w:p>
      <w:pPr>
        <w:pStyle w:val="BodyText"/>
      </w:pPr>
      <w:r>
        <w:t xml:space="preserve">Górska, A., &amp; Mazur, A. J. (2022). Integrin-linked kinase (ILK): The known vs. the unknown and perspectives. Cellular and Molecular Life Sciences. https://doi.org/10.1007/s00018-021-04104-1</w:t>
      </w:r>
    </w:p>
    <w:p>
      <w:pPr>
        <w:pStyle w:val="BodyText"/>
      </w:pPr>
      <w:r>
        <w:t xml:space="preserve">Hannigan, G., Troussard, A. A., &amp; Dedhar, S. (2005). Integrin-linked kinase: A cancer therapeutic target unique among its ilk. Nature Reviews Cancer, 5, 51–63. https://doi.org/10.1038/nrc1524</w:t>
      </w:r>
    </w:p>
    <w:p>
      <w:pPr>
        <w:pStyle w:val="BodyText"/>
      </w:pPr>
      <w:r>
        <w:t xml:space="preserve">Hannigan, G. E., Coles, J. G., &amp; Dedhar, S. (2007). Integrin-linked kinase at the heart of cardiac contractility, repair, and disease. Circulation Research, 100, 1408–1414. https://doi.org/10.1161/01.RES.0000265233.40455.62</w:t>
      </w:r>
    </w:p>
    <w:p>
      <w:pPr>
        <w:pStyle w:val="BodyText"/>
      </w:pPr>
      <w:r>
        <w:t xml:space="preserve">Maydan, M., McDonald, P. C., Sanghera, J., Yan, J., Rallis, C., Pinchin, S., … Dedhar, S. (2010). Integrin-linked kinase is a functional Mn²⁺-dependent protein kinase that regulates glycogen synthase kinase-3β phosphorylation. PLoS ONE, 5, e12356. https://doi.org/10.1371/journal.pone.0012356</w:t>
      </w:r>
    </w:p>
    <w:p>
      <w:pPr>
        <w:pStyle w:val="BodyText"/>
      </w:pPr>
      <w:r>
        <w:t xml:space="preserve">McDonald, P. C., &amp; Dedhar, S. (2022). New perspectives on the role of integrin-linked kinase (ILK) signaling in cancer metastasis. Cancers, 14, 3209. https://doi.org/10.3390/cancers14133209</w:t>
      </w:r>
    </w:p>
    <w:p>
      <w:pPr>
        <w:pStyle w:val="BodyText"/>
      </w:pPr>
      <w:r>
        <w:t xml:space="preserve">Nikolopoulos, S. N., &amp; Turner, C. E. (2001). Integrin-linked kinase (ILK) binding to paxillin LD1 motif regulates ILK localisation to focal adhesions. Journal of Biological Chemistry, 276, 23499–23505. https://doi.org/10.1074/jbc.M102163200</w:t>
      </w:r>
    </w:p>
    <w:p>
      <w:pPr>
        <w:pStyle w:val="BodyText"/>
      </w:pPr>
      <w:r>
        <w:t xml:space="preserve">Persad, S., &amp; Dedhar, S. (2003). The role of integrin-linked kinase (ILK) in cancer progression. Cancer and Metastasis Reviews, 22, 375–384. https://doi.org/10.1023/A:1023777013659</w:t>
      </w:r>
    </w:p>
    <w:p>
      <w:pPr>
        <w:pStyle w:val="BodyText"/>
      </w:pPr>
      <w:r>
        <w:t xml:space="preserve">Qin, J., &amp; Wu, C. (2012). ILK: A pseudokinase centre-stage in cell–matrix adhesion and signalling. Current Opinion in Cell Biology, 24, 607–613. https://doi.org/10.1016/j.ceb.2012.06.003</w:t>
      </w:r>
    </w:p>
    <w:p>
      <w:pPr>
        <w:pStyle w:val="BodyText"/>
      </w:pPr>
      <w:r>
        <w:t xml:space="preserve">Sakai, T., Li, S., Docheva, D., Grashoff, C., Sakai, K., Kostka, G., … Fässler, R. (2003). Integrin-linked kinase (ILK) is required for polarising the epiblast, cell adhesion and controlling actin accumulation. Genes &amp; Development, 17, 926–940. https://doi.org/10.1101/gad.255603</w:t>
      </w:r>
    </w:p>
    <w:p>
      <w:pPr>
        <w:pStyle w:val="BodyText"/>
      </w:pPr>
      <w:r>
        <w:t xml:space="preserve">Wickström, S. A., Lange, A., Montanez, E., &amp; Fässler, R. (2010). The ILK/PINCH/parvin complex: The kinase is dead, long live the pseudokinase! EMBO Journal. https://doi.org/10.1038/emboj.2009.376</w:t>
      </w:r>
    </w:p>
    <w:p>
      <w:pPr>
        <w:pStyle w:val="BodyText"/>
      </w:pPr>
      <w:r>
        <w:t xml:space="preserve">Widmaier, M., Rognoni, E., Radovanac, K., Azimifar, S. B., &amp; Fässler, R. (2012). Integrin-linked kinase at a glance. Journal of Cell Science, 125, 1839–1843. https://doi.org/10.1242/jcs.093864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2025-07-03T17:57:45Z</dcterms:created>
  <dcterms:modified xsi:type="dcterms:W3CDTF">2025-07-03T17:57:45Z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