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ROCK1 is a serine/threonine protein kinase of the AGC (PKA/PKG/PKC) family and one of two closely related Rho-associated kinases (ROCK1 and ROCK2). The two isoforms share ~60–65 % overall amino-acid identity and ~92 % identity within the catalytic domain (Feng et al., 2016; Surma et al., 2011; Guan et al., 2013; Liao et al., 2007). Orthologues occur throughout mammalian species, including human and mouse (Zanin-Zhorov et al., 2016; Surma et al., 2011).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O-phospho-L-seryl/threonyl-[protein] (Feng et al., 2016; Julian &amp; Olson, 2014).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together with ATP for catalysis (Feng et al., 2016; Julian &amp; Olson, 2014).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ROCK1 phosphorylates serine or threonine residues within basic, basophilic motifs. Preferred consensus sequences are R/K-X-S/T or R/K-X-X-S/T, often with arginine at the −3 and −2 positions (Julian &amp; Olson, 2014; Surma et al., 2011; Liao et al., 2007). Kinome-wide peptide library screening confirmed recognition of such basophilic motifs and highlighted strong negative selectivity based on electrostatic filtering (Johnson et al., 2023). Rnd3 is a known ROCK1-selective substrate not phosphorylated by ROCK2 (Hartmann et al., 2015).</w:t>
      </w:r>
    </w:p>
    <w:p>
      <w:pPr>
        <w:pStyle w:val="BodyText"/>
      </w:pPr>
      <w:r>
        <w:t xml:space="preserve">Structure</w:t>
      </w:r>
      <w:r>
        <w:br/>
      </w:r>
      <w:r>
        <w:t xml:space="preserve">Human ROCK1 is a ~160 kDa, 1354-residue protein encoded on chromosome 18q11.1 (Feng et al., 2016; Julian &amp; Olson, 2014). It contains:</w:t>
      </w:r>
      <w:r>
        <w:br/>
      </w:r>
      <w:r>
        <w:t xml:space="preserve">• N-terminal catalytic kinase domain</w:t>
      </w:r>
      <w:r>
        <w:br/>
      </w:r>
      <w:r>
        <w:t xml:space="preserve">• Central coiled-coil region harbouring the Rho-binding domain (RBD) and mediating homodimerisation (Julian &amp; Olson, 2014; Shah &amp; Savjani, 2016)</w:t>
      </w:r>
      <w:r>
        <w:br/>
      </w:r>
      <w:r>
        <w:t xml:space="preserve">• C-terminal split pleckstrin-homology (PH) domain interrupted by a cysteine-rich domain (CRD) that acts as an autoinhibitory segment (Hartmann et al., 2015).</w:t>
      </w:r>
      <w:r>
        <w:br/>
      </w:r>
      <w:r>
        <w:t xml:space="preserve">Phosphorylation of the activation loop is not essential for activity, distinguishing ROCK1 from many other AGC kinases (Hartmann et al., 2015; Julian &amp; Olson, 2014).</w:t>
      </w:r>
    </w:p>
    <w:p>
      <w:pPr>
        <w:pStyle w:val="BodyText"/>
      </w:pPr>
      <w:r>
        <w:t xml:space="preserve">Regulation</w:t>
      </w:r>
      <w:r>
        <w:br/>
      </w:r>
      <w:r>
        <w:t xml:space="preserve">• Autoinhibition: the C-terminal region folds over the kinase domain to block activity (Hartmann et al., 2015; Liao et al., 2007).</w:t>
      </w:r>
      <w:r>
        <w:br/>
      </w:r>
      <w:r>
        <w:t xml:space="preserve">• Activation by GTP-bound RhoA/B/C binding to the RBD, which releases autoinhibition (Feng et al., 2016; Hartmann et al., 2015; Zhou et al., 2011).</w:t>
      </w:r>
      <w:r>
        <w:br/>
      </w:r>
      <w:r>
        <w:t xml:space="preserve">• Proteolytic activation: caspase-3 cleavage at DETD¹¹¹³ ↓ G during apoptosis and granzyme B cleavage remove the inhibitory tail, yielding constitutively active kinase fragments (Hartmann et al., 2015; Julian &amp; Olson, 2014; Zhou et al., 2011).</w:t>
      </w:r>
      <w:r>
        <w:br/>
      </w:r>
      <w:r>
        <w:t xml:space="preserve">• Autophosphorylation on Ser1333 correlates with activation (Hartmann et al., 2015).</w:t>
      </w:r>
      <w:r>
        <w:br/>
      </w:r>
      <w:r>
        <w:t xml:space="preserve">• Negative regulators: Rnd3 (RhoE), Gem and Rad1 bind the N-terminus and suppress activity; PDK1 can antagonise the Rnd3 effect (Julian &amp; Olson, 2014; Hartmann et al., 2015; Liao et al., 2007).</w:t>
      </w:r>
      <w:r>
        <w:br/>
      </w:r>
      <w:r>
        <w:t xml:space="preserve">• Lipid activation: arachidonic acid can stimulate kinase activity (Surma et al., 2011; Zhou et al., 2011).</w:t>
      </w:r>
    </w:p>
    <w:p>
      <w:pPr>
        <w:pStyle w:val="BodyText"/>
      </w:pPr>
      <w:r>
        <w:t xml:space="preserve">Function</w:t>
      </w:r>
      <w:r>
        <w:br/>
      </w:r>
      <w:r>
        <w:t xml:space="preserve">ROCK1 is a central effector of RhoA signalling, orchestrating actin-myosin cytoskeletal dynamics to regulate contraction, adhesion, migration, proliferation and cell shape (Feng et al., 2016; Julian &amp; Olson, 2014).</w:t>
      </w:r>
      <w:r>
        <w:br/>
      </w:r>
      <w:r>
        <w:t xml:space="preserve">Expression: Ubiquitous, enriched in heart, lung, liver, kidney, pancreas and skeletal muscle; relatively low in brain (Feng et al., 2016; Hartmann et al., 2015).</w:t>
      </w:r>
      <w:r>
        <w:br/>
      </w:r>
      <w:r>
        <w:t xml:space="preserve">Sub-cellular localisation: cytoplasm, plasma membrane and centrosomes (Hartmann et al., 2015; Julian &amp; Olson, 2014).</w:t>
      </w:r>
      <w:r>
        <w:br/>
      </w:r>
      <w:r>
        <w:t xml:space="preserve">Major substrates: MYPT1, LIMK1/2, adducin, neurofilament proteins, CRMP2 and ERM family members (Feng et al., 2016). Phosphorylation of MYPT1 inhibits myosin phosphatase, raising myosin light-chain phosphorylation and contractility (Feng et al., 2016; Yu et al., 2020).</w:t>
      </w:r>
      <w:r>
        <w:br/>
      </w:r>
      <w:r>
        <w:t xml:space="preserve">Signalling pathways: contributes to MRTF/SRF and TGF-β transcriptional programmes, notably in fibrotic responses (Hartmann et al., 2015; Yu et al., 2020).</w:t>
      </w:r>
      <w:r>
        <w:br/>
      </w:r>
      <w:r>
        <w:t xml:space="preserve">Genetic studies: ROCK1-deficient mice display eyelid and ventral body-wall closure defects, underscoring isoform-specific developmental roles (Feng et al., 2016; Julian &amp; Olson, 2014).</w:t>
      </w:r>
    </w:p>
    <w:p>
      <w:pPr>
        <w:pStyle w:val="BodyText"/>
      </w:pPr>
      <w:r>
        <w:t xml:space="preserve">Inhibitors</w:t>
      </w:r>
      <w:r>
        <w:br/>
      </w:r>
      <w:r>
        <w:t xml:space="preserve">Clinically used ATP-competitive inhibitors include Fasudil (cerebral vasospasm) and Ripasudil (glaucoma). Widely used research probes are Y-27632, H-1152 and Netarsudil/AR-13324 (IC₅₀ ≈ 1 nM for both isoforms). Additional inhibitors: RKI-1447, SR3677, GSK269962A and Belumosudil (Feng et al., 2016; Surma et al., 2011; Guan et al., 2013; Zheng et al., 2025).</w:t>
      </w:r>
    </w:p>
    <w:p>
      <w:pPr>
        <w:pStyle w:val="BodyText"/>
      </w:pPr>
      <w:r>
        <w:t xml:space="preserve">Other Comments</w:t>
      </w:r>
      <w:r>
        <w:br/>
      </w:r>
      <w:r>
        <w:t xml:space="preserve">ROCK1 dysregulation links to cardiovascular disorders (hypertension, atherosclerosis, heart failure, fibrosis), asthma, cancer, erectile dysfunction, glaucoma, insulin resistance and neurodegeneration (Feng et al., 2016; Hartmann et al., 2015; Zhou et al., 2011). Enhanced caspase-3-mediated cleavage in failing hearts contributes to apoptosis-associated membrane blebbing (Hartmann et al., 2015). Tissue-specific manipulation reveals therapeutic potential: ROCK1 haplo-insufficiency reduces cardiac fibrosis, whereas adipose-specific deletion improves metabolic homeostasis (Julian &amp; Olson, 2014).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Feng, Y., LoGrasso, P. V., Defert, O., &amp; Li, R. (2016). Rho kinase (ROCK) inhibitors and their therapeutic potential. Journal of Medicinal Chemistry, 59(6), 2269–2300. https://doi.org/10.1021/acs.jmedchem.5b00683</w:t>
      </w:r>
    </w:p>
    <w:p>
      <w:pPr>
        <w:pStyle w:val="FirstParagraph"/>
      </w:pPr>
      <w:r>
        <w:t xml:space="preserve">Guan, R., Xu, X., Chen, M., Hu, H., Ge, H., Wen, S., Zhou, S., &amp; Pi, R. (2013). Advances in the studies of roles of Rho/Rho-kinase in diseases and the development of its inhibitors. European Journal of Medicinal Chemistry, 70, 613–622. https://doi.org/10.1016/j.ejmech.2013.10.048</w:t>
      </w:r>
    </w:p>
    <w:p>
      <w:pPr>
        <w:pStyle w:val="BodyText"/>
      </w:pPr>
      <w:r>
        <w:t xml:space="preserve">Hartmann, S., Ridley, A. J., &amp; Lutz, S. (2015). The function of Rho-associated kinases ROCK1 and ROCK2 in the pathogenesis of cardiovascular disease. Frontiers in Pharmacology, 6, 276. https://doi.org/10.3389/fphar.2015.00276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Julian, L., &amp; Olson, M. F. (2014). Rho-associated coiled-coil containing kinases (ROCK). Small GTPases, 5(1), e29846. https://doi.org/10.4161/sgtp.29846</w:t>
      </w:r>
    </w:p>
    <w:p>
      <w:pPr>
        <w:pStyle w:val="BodyText"/>
      </w:pPr>
      <w:r>
        <w:t xml:space="preserve">Liao, J. K., Seto, M., &amp; Noma, K. (2007). Rho kinase (ROCK) inhibitors. Journal of Cardiovascular Pharmacology, 50(1), 17–24. https://doi.org/10.1097/FJC.0b013e318070d1bd</w:t>
      </w:r>
    </w:p>
    <w:p>
      <w:pPr>
        <w:pStyle w:val="BodyText"/>
      </w:pPr>
      <w:r>
        <w:t xml:space="preserve">Shah, S., &amp; Savjani, J. (2016). A review on ROCK-II inhibitors: From molecular modelling to synthesis. Bioorganic &amp; Medicinal Chemistry Letters, 26(10), 2383–2391. https://doi.org/10.1016/j.bmcl.2016.03.113</w:t>
      </w:r>
    </w:p>
    <w:p>
      <w:pPr>
        <w:pStyle w:val="BodyText"/>
      </w:pPr>
      <w:r>
        <w:t xml:space="preserve">Surma, M., Wei, L., &amp; Shi, J. (2011). Rho kinase as a therapeutic target in cardiovascular disease. Future Cardiology, 7(5), 657–671. https://doi.org/10.2217/fca.11.51</w:t>
      </w:r>
    </w:p>
    <w:p>
      <w:pPr>
        <w:pStyle w:val="BodyText"/>
      </w:pPr>
      <w:r>
        <w:t xml:space="preserve">Yu, B., Sladojevic, N., Blair, J. E., &amp; Liao, J. K. (2020). Targeting Rho-associated coiled-coil forming protein kinase (ROCK) in cardiovascular fibrosis and stiffening. Expert Opinion on Therapeutic Targets, 24(1), 47–62. https://doi.org/10.1080/14728222.2020.1712593</w:t>
      </w:r>
    </w:p>
    <w:p>
      <w:pPr>
        <w:pStyle w:val="BodyText"/>
      </w:pPr>
      <w:r>
        <w:t xml:space="preserve">Zanin-Zhorov, A., Flynn, R., Waksal, S. D., &amp; Blazar, B. R. (2016). Isoform-specific targeting of ROCK proteins in immune cells. Small GTPases, 7(3), 173–177. https://doi.org/10.1080/21541248.2016.1181698</w:t>
      </w:r>
    </w:p>
    <w:p>
      <w:pPr>
        <w:pStyle w:val="BodyText"/>
      </w:pPr>
      <w:r>
        <w:t xml:space="preserve">Zheng, C., Xia, W., &amp; Zhang, J.-h. (2025). ROCK inhibitors in Alzheimer’s disease. Frontiers in Aging. https://doi.org/10.3389/fragi.2025.1547883</w:t>
      </w:r>
    </w:p>
    <w:p>
      <w:pPr>
        <w:pStyle w:val="BodyText"/>
      </w:pPr>
      <w:r>
        <w:t xml:space="preserve">Zhou, Q., Gensch, C., &amp; Liao, J. K. (2011). Rho-associated coiled-coil-forming kinases (ROCKs): potential targets for the treatment of atherosclerosis and vascular disease. Trends in Pharmacological Sciences, 32(3), 167–173. https://doi.org/10.1016/j.tips.2010.12.006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2025-07-03T21:41:21Z</dcterms:created>
  <dcterms:modified xsi:type="dcterms:W3CDTF">2025-07-03T21:41:21Z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