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CAMK2G belongs to the Ca²⁺/calmodulin-dependent protein kinase II (CaMKII) family within the CaM kinase (CAMK) group of the Ser/Thr protein kinase class of the human kinome (Ma et al., 2015; Mohanan et al., 2022; Proietti Onori et al., 2018). This placement is consistent with the kinome survey by Manning et al. (2002). CAMK2G shares key catalytic-site residues with its paralogs CAMK2A and CAMK2B (Proietti Onori et al., 2018) and has well-conserved orthologs in common vertebrate models such as mouse and rat (Coultrap &amp; Bayer, 2011; Proietti Onori et al., 2018; Mohanan et al., 2022).</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(Ma et al., 2015; Mohanan et al., 2022; Beghi et al., 2020).</w:t>
      </w:r>
    </w:p>
    <w:bookmarkEnd w:id="10"/>
    <w:bookmarkStart w:id="11" w:name="cofactor-requirements"/>
    <w:p>
      <w:pPr>
        <w:pStyle w:val="Heading2"/>
      </w:pPr>
      <w:r>
        <w:t xml:space="preserve">Cofactor Requirements</w:t>
      </w:r>
    </w:p>
    <w:p>
      <w:pPr>
        <w:pStyle w:val="FirstParagraph"/>
      </w:pPr>
      <w:r>
        <w:t xml:space="preserve">• Ca²⁺/calmodulin complex for activation (Ma et al., 2015; Mohanan et al., 2022)</w:t>
      </w:r>
      <w:r>
        <w:br/>
      </w:r>
      <w:r>
        <w:t xml:space="preserve">• Mg²⁺ as an essential catalytic metal ion (Proietti Onori et al., 2018; Kool et al., 2019)</w:t>
      </w:r>
    </w:p>
    <w:bookmarkEnd w:id="11"/>
    <w:bookmarkStart w:id="12" w:name="substrate-specificity"/>
    <w:p>
      <w:pPr>
        <w:pStyle w:val="Heading2"/>
      </w:pPr>
      <w:r>
        <w:t xml:space="preserve">Substrate Specificity</w:t>
      </w:r>
    </w:p>
    <w:p>
      <w:pPr>
        <w:pStyle w:val="FirstParagraph"/>
      </w:pPr>
      <w:r>
        <w:t xml:space="preserve">CAMK2G preferentially phosphorylates Ser/Thr residues within basic motifs. Comprehensive profiling defines a consensus [R-X-X-S/T] with a strong preference for Arg at the −3 position and additional Lys/Arg flanking the phospho-acceptor site (Coultrap &amp; Bayer, 2011; Ma et al., 2015; Proietti Onori et al., 2018; Mohanan et al., 2022).</w:t>
      </w:r>
    </w:p>
    <w:bookmarkEnd w:id="12"/>
    <w:bookmarkStart w:id="13" w:name="structure"/>
    <w:p>
      <w:pPr>
        <w:pStyle w:val="Heading2"/>
      </w:pPr>
      <w:r>
        <w:t xml:space="preserve">Structure</w:t>
      </w:r>
    </w:p>
    <w:p>
      <w:pPr>
        <w:pStyle w:val="FirstParagraph"/>
      </w:pPr>
      <w:r>
        <w:t xml:space="preserve">The protein comprises:</w:t>
      </w:r>
      <w:r>
        <w:br/>
      </w:r>
      <w:r>
        <w:t xml:space="preserve">1. N-terminal catalytic kinase domain with canonical activation loop and C-helix (Coultrap &amp; Bayer, 2011; Proietti Onori et al., 2018).</w:t>
      </w:r>
      <w:r>
        <w:br/>
      </w:r>
      <w:r>
        <w:t xml:space="preserve">2. Central regulatory segment containing an autoinhibitory helix and the CaM-binding site (Ma et al., 2015; Mohanan et al., 2022).</w:t>
      </w:r>
      <w:r>
        <w:br/>
      </w:r>
      <w:r>
        <w:t xml:space="preserve">3. C-terminal association (hub) domain that mediates oligomerization into a dodecameric holoenzyme arranged as two stacked hexameric rings (Ma et al., 2015; Proietti Onori et al., 2018; Beghi et al., 2020).</w:t>
      </w:r>
    </w:p>
    <w:p>
      <w:pPr>
        <w:pStyle w:val="BodyText"/>
      </w:pPr>
      <w:r>
        <w:t xml:space="preserve">A unique nuclear-localization sequence near Ser334 enables nuclear translocation of one CAMK2G isoform (Ma et al., 2015). Activation-dependent reorientation of the C-helix and phosphorylation-induced rearrangement of the activation loop convert the kinase from an inactive to an active state (Coultrap &amp; Bayer, 2011; Proietti Onori et al., 2018; Rigter et al., 2023).</w:t>
      </w:r>
    </w:p>
    <w:bookmarkEnd w:id="13"/>
    <w:bookmarkStart w:id="14" w:name="regulation"/>
    <w:p>
      <w:pPr>
        <w:pStyle w:val="Heading2"/>
      </w:pPr>
      <w:r>
        <w:t xml:space="preserve">Regulation</w:t>
      </w:r>
    </w:p>
    <w:p>
      <w:pPr>
        <w:pStyle w:val="FirstParagraph"/>
      </w:pPr>
      <w:r>
        <w:t xml:space="preserve">• Basal autoinhibition: the regulatory helix blocks the catalytic cleft (Proietti Onori et al., 2018).</w:t>
      </w:r>
      <w:r>
        <w:br/>
      </w:r>
      <w:r>
        <w:t xml:space="preserve">• Ca²⁺/CaM binding relieves autoinhibition, exposes the active site, and promotes inter-subunit autophosphorylation at Thr287 (Ma et al., 2015; Proietti Onori et al., 2018).</w:t>
      </w:r>
      <w:r>
        <w:br/>
      </w:r>
      <w:r>
        <w:t xml:space="preserve">• Thr287 phosphorylation generates Ca²⁺-independent (autonomous) activity and long-lived CaM trapping (Ma et al., 2015; Mohanan et al., 2022).</w:t>
      </w:r>
      <w:r>
        <w:br/>
      </w:r>
      <w:r>
        <w:t xml:space="preserve">• Phosphorylation near Ser334 modulates the nuclear-localization sequence (Ma et al., 2015).</w:t>
      </w:r>
    </w:p>
    <w:bookmarkEnd w:id="14"/>
    <w:bookmarkStart w:id="15" w:name="function"/>
    <w:p>
      <w:pPr>
        <w:pStyle w:val="Heading2"/>
      </w:pPr>
      <w:r>
        <w:t xml:space="preserve">Function</w:t>
      </w:r>
    </w:p>
    <w:p>
      <w:pPr>
        <w:pStyle w:val="FirstParagraph"/>
      </w:pPr>
      <w:r>
        <w:t xml:space="preserve">Expression: Highly expressed in brain, heart, smooth muscle, and liver; particularly enriched during early neuronal development (Ma et al., 2015; Proietti Onori et al., 2018).</w:t>
      </w:r>
    </w:p>
    <w:p>
      <w:pPr>
        <w:pStyle w:val="BodyText"/>
      </w:pPr>
      <w:r>
        <w:t xml:space="preserve">Upstream signals: Ca²⁺ influx via L-type Ca²⁺ channels and NMDA receptors (Ma et al., 2015; Mohanan et al., 2022).</w:t>
      </w:r>
    </w:p>
    <w:p>
      <w:pPr>
        <w:pStyle w:val="BodyText"/>
      </w:pPr>
      <w:r>
        <w:t xml:space="preserve">Downstream/targets: Phosphorylates transcription factors CREB and STAT1 and interacts with the ryanodine receptor (Ma et al., 2015; Proietti Onori et al., 2018).</w:t>
      </w:r>
    </w:p>
    <w:p>
      <w:pPr>
        <w:pStyle w:val="BodyText"/>
      </w:pPr>
      <w:r>
        <w:t xml:space="preserve">Physiological roles: Critical for glutamatergic synapse signalling, long-term potentiation, synaptic plasticity, memory formation, neuronal migration, maturation, and dendritic arborization (Ma et al., 2015; Mohanan et al., 2022; Proietti Onori et al., 2018).</w:t>
      </w:r>
    </w:p>
    <w:p>
      <w:pPr>
        <w:pStyle w:val="BodyText"/>
      </w:pPr>
      <w:r>
        <w:t xml:space="preserve">Pathology/cancer: Acts downstream of PLCγ1/Ca²⁺ signalling and binds the pseudokinase PEAK1 in triple-negative breast cancer (Yang et al., 2025).</w:t>
      </w:r>
    </w:p>
    <w:bookmarkEnd w:id="15"/>
    <w:bookmarkStart w:id="16" w:name="inhibitors"/>
    <w:p>
      <w:pPr>
        <w:pStyle w:val="Heading2"/>
      </w:pPr>
      <w:r>
        <w:t xml:space="preserve">Inhibitors</w:t>
      </w:r>
    </w:p>
    <w:p>
      <w:pPr>
        <w:pStyle w:val="FirstParagraph"/>
      </w:pPr>
      <w:r>
        <w:t xml:space="preserve">Experimental inhibitors of CAMK2 isoforms include:</w:t>
      </w:r>
      <w:r>
        <w:br/>
      </w:r>
      <w:r>
        <w:t xml:space="preserve">• Small molecules – KN-93, KN-62 (Ma et al., 2015; Mohanan et al., 2022)</w:t>
      </w:r>
      <w:r>
        <w:br/>
      </w:r>
      <w:r>
        <w:t xml:space="preserve">• Peptide inhibitors – AIP, AC3-I, and CaM-KIIN-derived peptides CN21 and CN19 (Mohanan et al., 2022)</w:t>
      </w:r>
      <w:r>
        <w:br/>
      </w:r>
      <w:r>
        <w:t xml:space="preserve">• Second-generation compound – RA306 (Yang et al., 2025)</w:t>
      </w:r>
    </w:p>
    <w:bookmarkEnd w:id="16"/>
    <w:bookmarkStart w:id="17" w:name="other-comments"/>
    <w:p>
      <w:pPr>
        <w:pStyle w:val="Heading2"/>
      </w:pPr>
      <w:r>
        <w:t xml:space="preserve">Other Comments</w:t>
      </w:r>
    </w:p>
    <w:p>
      <w:pPr>
        <w:pStyle w:val="FirstParagraph"/>
      </w:pPr>
      <w:r>
        <w:t xml:space="preserve">Pathogenic gain-of-function mutation p.Arg292Pro in CAMK2G causes intellectual disability, elevates basal Thr287 phosphorylation, increases CaM affinity, and disrupts neuronal migration and maturation (Proietti Onori et al., 2018). Additional CAMK2G variants cluster with coronary artery disease-associated SNPs, suggesting cardiovascular risk linkage (Beghi et al., 2020).</w:t>
      </w:r>
    </w:p>
    <w:bookmarkEnd w:id="17"/>
    <w:bookmarkStart w:id="18" w:name="references"/>
    <w:p>
      <w:pPr>
        <w:pStyle w:val="Heading2"/>
      </w:pPr>
      <w:r>
        <w:t xml:space="preserve">References</w:t>
      </w:r>
    </w:p>
    <w:p>
      <w:pPr>
        <w:pStyle w:val="FirstParagraph"/>
      </w:pPr>
      <w:r>
        <w:t xml:space="preserve">Beghi, S., Cavaliere, F., &amp; Buschini, A. (2020). Gene polymorphisms in calcium-calmodulin pathway: Focus on cardiovascular disease. Mutation Research-Reviews in Mutation Research, 786, 108325. https://doi.org/10.1016/j.mrrev.2020.108325</w:t>
      </w:r>
    </w:p>
    <w:p>
      <w:pPr>
        <w:pStyle w:val="BodyText"/>
      </w:pPr>
      <w:r>
        <w:t xml:space="preserve">Coultrap, S., &amp; Bayer, K. (2011). Improving a natural CaMKII inhibitor by random and rational design. PLoS ONE, 6, e25245. https://doi.org/10.1371/journal.pone.0025245</w:t>
      </w:r>
    </w:p>
    <w:p>
      <w:pPr>
        <w:pStyle w:val="BodyText"/>
      </w:pPr>
      <w:r>
        <w:t xml:space="preserve">Kool, M. J., Proietti Onori, M., Borgesius, N. Z., van de Bree, J. E., Elgersma-Hooisma, M., Nio, E., … van Woerden, G. V. (2019). CaMK2-dependent signaling in neurons is essential for survival. The Journal of Neuroscience, 39(27), 5424–5439. https://doi.org/10.1523/JNEUROSCI.1341-18.2019</w:t>
      </w:r>
    </w:p>
    <w:p>
      <w:pPr>
        <w:pStyle w:val="BodyText"/>
      </w:pPr>
      <w:r>
        <w:t xml:space="preserve">Ma, H., Li, B., &amp; Tsien, R. (2015). Distinct roles of multiple isoforms of CaMKII in signaling to the nucleus. Biochimica et Biophysica Acta, 1853(9), 1953–1957. https://doi.org/10.1016/j.bbamcr.2015.02.008</w:t>
      </w:r>
    </w:p>
    <w:p>
      <w:pPr>
        <w:pStyle w:val="BodyText"/>
      </w:pPr>
      <w:r>
        <w:t xml:space="preserve">Manning, G., Whyte, D. B., Martinez, R., Hunter, T., &amp; Sudarsanam, S. (2002). The protein kinase complement of the human genome. Science, 298(5600), 1912–1934. https://doi.org/10.1126/science.1075762</w:t>
      </w:r>
    </w:p>
    <w:p>
      <w:pPr>
        <w:pStyle w:val="BodyText"/>
      </w:pPr>
      <w:r>
        <w:t xml:space="preserve">Mohanan, A. G., Gunasekaran, S., Jacob, R. S., &amp; Omkumar, R. V. (2022). Role of Ca2+/calmodulin-dependent protein kinase type II in mediating function and dysfunction at glutamatergic synapses. Frontiers in Molecular Neuroscience, 15, 855752. https://doi.org/10.3389/fnmol.2022.855752</w:t>
      </w:r>
    </w:p>
    <w:p>
      <w:pPr>
        <w:pStyle w:val="BodyText"/>
      </w:pPr>
      <w:r>
        <w:t xml:space="preserve">Proietti Onori, M., Koopal, B., Everman, D. B., Worthington, J. D., Jones, J. R., Ploeg, M. A., … van Woerden, G. M. (2018). The intellectual disability-associated CAMK2G p.Arg292Pro mutation acts as a pathogenic gain-of-function. Human Mutation, 39(9), 2008–2024. https://doi.org/10.1002/humu.23647</w:t>
      </w:r>
    </w:p>
    <w:p>
      <w:pPr>
        <w:pStyle w:val="BodyText"/>
      </w:pPr>
      <w:r>
        <w:t xml:space="preserve">Rigter, P. M., de Konink, C., &amp; van Woerden, G. V. (2023). Loss of CAMK2G affects intrinsic and motor behavior but has minimal impact on cognitive behavior. Frontiers in Neuroscience, 16, 1086994. https://doi.org/10.3389/fnins.2022.1086994</w:t>
      </w:r>
    </w:p>
    <w:p>
      <w:pPr>
        <w:pStyle w:val="BodyText"/>
      </w:pPr>
      <w:r>
        <w:t xml:space="preserve">Yang, X., Ma, X., Zhao, T., Croucher, D. R., Nguyen, E. V., Clark, K. C., … Daly, R. J. (2025). Activation of CAMK2 by pseudokinase PEAK1 represents a targetable pathway in triple negative breast cancer. Nature Communications, 16, 57046. https://doi.org/10.1038/s41467-025-57046-8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2025-07-03T23:10:33Z</dcterms:created>
  <dcterms:modified xsi:type="dcterms:W3CDTF">2025-07-03T23:10:33Z</dcterms:modified>
</cp:coreProperties>
</file>

<file path=docProps/custom.xml><?xml version="1.0" encoding="utf-8"?>
<Properties xmlns="http://schemas.openxmlformats.org/officeDocument/2006/custom-properties" xmlns:vt="http://schemas.openxmlformats.org/officeDocument/2006/docPropsVTypes"/>
</file>