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Dual-specificity tyrosine-regulated kinase 1A (DYRK1A) is a class I DYRK member within the CMGC protein-kinase branch. It is most closely related to DYRK1B and shows broader similarity to class II DYRK2-4 and HIPKs (Soundararajan et al., 2013; Aranda et al., 2011). Orthologues include Saccharomyces cerevisiae Yak1, Drosophila melanogaster minibrain (mnb) and Mus musculus Dyrk1a (Widowati et al., 2018; Lee et al., 2020).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Compact"/>
        <w:numPr>
          <w:ilvl w:val="0"/>
          <w:numId w:val="1001"/>
        </w:numPr>
      </w:pPr>
      <w:r>
        <w:t xml:space="preserve">ATP + protein-L-serine/threonine ⇌ ADP + protein-L-O-phosphoserine/threonine (Soundararajan et al., 2013).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ATP + protein-L-tyrosine ⇌ ADP + protein-L-O-phosphotyrosine (Deboever et al., 2022).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divalent cations; Mn²⁺ supports higher activity than Mg²⁺ in vitro (Aranda et al., 2011; Lee et al., 2020).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DYRK1A prefers the motif R-x(2)-S/T-P, with strong selection for Arg at ‑3/-2 and Pro at +1 (Ananthapadmanabhan et al., 2023; Widowati et al., 2018). Non-canonical sites are tolerated when Ala or Val occupies +1 (Ananthapadmanabhan et al., 2023). An obligatory cis autophosphorylation on Tyr321 within the YxY activation-loop motif is required for catalytic maturation (Aranda et al., 2011).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comprises an N-terminal DYRK-homology (DH) box essential for folding and autophosphorylation, a bilobal kinase domain, and a C-terminal region enriched in His, PEST and nuclear-localisation sequences (Ananthapadmanabhan et al., 2023; Aranda et al., 2011). Crystal structures of the catalytic domain (PDB 2WO6, 4YU2) display an active DFG-in conformation with phosphorylated Tyr321, an aligned hydrophobic spine and a correctly positioned αC-helix (Soundararajan et al., 2013; Evers et al., 2017). The His-rich low-complexity tract targets DYRK1A to nuclear speckles (Ananthapadmanabhan et al., 2023).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Autophosphorylation on Tyr321 is essential for activation (Aranda et al., 2011).</w:t>
      </w:r>
      <w:r>
        <w:br/>
      </w:r>
      <w:r>
        <w:t xml:space="preserve">• Additional phosphorylation at Ser97 and Ser520 modulates activity/stability (Widowati et al., 2018).</w:t>
      </w:r>
      <w:r>
        <w:br/>
      </w:r>
      <w:r>
        <w:t xml:space="preserve">• SCF-FBXW7-mediated ubiquitination triggers proteasomal degradation (Aranda et al., 2011).</w:t>
      </w:r>
      <w:r>
        <w:br/>
      </w:r>
      <w:r>
        <w:t xml:space="preserve">• Calpain-1 C-terminal cleavage yields a hyperactive fragment (Lindberg &amp; Meijer, 2021).</w:t>
      </w:r>
      <w:r>
        <w:br/>
      </w:r>
      <w:r>
        <w:t xml:space="preserve">• Interaction with the WD40 adaptor WDR68/DCAF7 affects localisation, while SRC-family kinases function upstream (Lindberg &amp; Meijer, 2021; Lee et al., 2020).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DYRK1A is highly expressed in cerebral cortex, hippocampus and pancreatic islets, localising to both nucleus and cytoplasm with enrichment in nuclear speckles (Deboever et al., 2022; Ananthapadmanabhan et al., 2023). Reported substrates and pathways include:</w:t>
      </w:r>
      <w:r>
        <w:br/>
      </w:r>
      <w:r>
        <w:t xml:space="preserve">– DNA-damage response: phosphorylation of RNF169 limits TP53BP1 accrual and favours homologous-recombination repair (Ananthapadmanabhan et al., 2023).</w:t>
      </w:r>
      <w:r>
        <w:br/>
      </w:r>
      <w:r>
        <w:t xml:space="preserve">– Transcription: acts as a C-terminal-domain kinase for RNA-polymerase II (Deboever et al., 2022).</w:t>
      </w:r>
      <w:r>
        <w:br/>
      </w:r>
      <w:r>
        <w:t xml:space="preserve">– mRNA splicing: phosphorylates SRSF6, influencing alternative splicing such as tau exon 10 (Lindberg &amp; Meijer, 2021).</w:t>
      </w:r>
      <w:r>
        <w:br/>
      </w:r>
      <w:r>
        <w:t xml:space="preserve">– Cell cycle and neurogenesis: phosphorylation of p27^Kip1 and cyclin D1 promotes neuronal differentiation and G₀ exit (Ananthapadmanabhan et al., 2023).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Harmine (nanomolar), INDY (low-micromolar indirubin derivative) and Leucettine-41 (sub-micromolar, brain-penetrant) are commonly used ATP-competitive inhibitors (Aranda et al., 2011; Deboever et al., 2022; Nguyen et al., 2017).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The DYRK1A gene maps to chromosome 21; gene dosage increase contributes to cognitive deficits in Down syndrome, whereas haploinsufficiency causes an autosomal-dominant intellectual-disability syndrome with microcephaly (Lindberg &amp; Meijer, 2021; Widowati et al., 2018). Pathogenic missense variants (H319Y, R467Q) abolish kinase activity, and truncations confer loss-of-function phenotypes (Lee et al., 2020). Hyperactive DYRK1A enhances tau and APP phosphorylation linked to Alzheimer’s disease and has context-dependent roles in cancer and β-cell regeneration (Deboever et al., 2022; Lindberg &amp; Meijer, 2021).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Ananthapadmanabhan, V., Shows, K. H., Dickinson, A. J., &amp; Litovchick, L. (2023). Insights from the protein interaction universe of the multifunctional “Goldilocks” kinase DYRK1A. Frontiers in Cell and Developmental Biology, 11, 1277537. https://doi.org/10.3389/fcell.2023.1277537</w:t>
      </w:r>
    </w:p>
    <w:p>
      <w:pPr>
        <w:pStyle w:val="BodyText"/>
      </w:pPr>
      <w:r>
        <w:t xml:space="preserve">Aranda, S., Laguna, A., &amp; de la Luna, S. (2011). DYRK family of protein kinases: evolutionary relationships, biochemical properties, and functional roles. The FASEB Journal, 25, 449–462. https://doi.org/10.1096/fj.10-165837</w:t>
      </w:r>
    </w:p>
    <w:p>
      <w:pPr>
        <w:pStyle w:val="BodyText"/>
      </w:pPr>
      <w:r>
        <w:t xml:space="preserve">Deboever, E., Fistrovich, A., Hulme, C., &amp; Dunckley, T. (2022). The omnipresence of DYRK1A in human diseases. International Journal of Molecular Sciences, 23, 9355. https://doi.org/10.3390/ijms23169355</w:t>
      </w:r>
    </w:p>
    <w:p>
      <w:pPr>
        <w:pStyle w:val="BodyText"/>
      </w:pPr>
      <w:r>
        <w:t xml:space="preserve">Evers, J. M. G., Laskowski, R. A., Bertolli, M., et al. (2017). Structural analysis of pathogenic mutations in the DYRK1A gene in patients with developmental disorders. Human Molecular Genetics, 26, 519–526. https://doi.org/10.1093/hmg/ddw409</w:t>
      </w:r>
    </w:p>
    <w:p>
      <w:pPr>
        <w:pStyle w:val="BodyText"/>
      </w:pPr>
      <w:r>
        <w:t xml:space="preserve">Lee, K.-S., Choi, M., Kwon, D.-W., et al. (2020). A novel de novo heterozygous DYRK1A mutation causes complete loss of DYRK1A function and developmental delay. Scientific Reports, 10, 9930. https://doi.org/10.1038/s41598-020-66750-y</w:t>
      </w:r>
    </w:p>
    <w:p>
      <w:pPr>
        <w:pStyle w:val="BodyText"/>
      </w:pPr>
      <w:r>
        <w:t xml:space="preserve">Lindberg, M. F., &amp; Meijer, L. (2021). Dual-specificity, tyrosine phosphorylation-regulated kinases (DYRKs) and CDC2-like kinases (CLKs) in human disease: An overview. International Journal of Molecular Sciences, 22, 6047. https://doi.org/10.3390/ijms22116047</w:t>
      </w:r>
    </w:p>
    <w:p>
      <w:pPr>
        <w:pStyle w:val="BodyText"/>
      </w:pPr>
      <w:r>
        <w:t xml:space="preserve">Nguyen, T. L., Fruit, C., Hérault, Y., Meijer, L., &amp; Besson, T. (2017). Dual-specificity tyrosine phosphorylation-regulated kinase 1A (DYRK1A) inhibitors: A survey of recent patent literature. Expert Opinion on Therapeutic Patents, 27, 1183–1199. https://doi.org/10.1080/13543776.2017.1360285</w:t>
      </w:r>
    </w:p>
    <w:p>
      <w:pPr>
        <w:pStyle w:val="BodyText"/>
      </w:pPr>
      <w:r>
        <w:t xml:space="preserve">Soundararajan, M., Roos, A. K., Savitsky, P., et al. (2013). Structures of Down syndrome kinases, DYRKs, reveal mechanisms of kinase activation and substrate recognition. Structure, 21, 986–996. https://doi.org/10.1016/j.str.2013.03.012</w:t>
      </w:r>
    </w:p>
    <w:p>
      <w:pPr>
        <w:pStyle w:val="BodyText"/>
      </w:pPr>
      <w:r>
        <w:t xml:space="preserve">Widowati, E., Ernst, S., Hausmann, R., Müller-Newen, G., &amp; Becker, W. (2018). Functional characterization of DYRK1A missense variants associated with a syndromic form of intellectual deficiency and autism. Biology Open, 7, bio032862. https://doi.org/10.1242/bio.032862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2025-07-03T18:54:26Z</dcterms:created>
  <dcterms:modified xsi:type="dcterms:W3CDTF">2025-07-03T18:54:26Z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