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IKBKE (IKKε/IKKi) is a non-canonical IκB kinase in the IKK-related family of serine/threonine protein kinases. Kinome analyses generally classify the IKKs in the atypical “Other” kinase group, although several sources place IKBKE in the CMGC family. It shares only 24 – 31 % sequence identity with canonical IKKα/β, yet is closely related to TBK1 with ~64 – 67 % homology (Häcker &amp; Karin, 2006; Durand et al., 2018; Yin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[target protein]-L-Ser/Thr ⇌ ADP + [target protein]-L-Ser/Thr-phosphate (Bulek et al.,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ATP and divalent cations Mg²⁺ or Mn²⁺ are required for catalytic activity (Johnson et al., 2023; Wang et al., 2005).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Peptide-array profiling groups IKBKE in a minor specificity cluster characterised by basic residues flanking the phospho-site and a marked preference for an aromatic residue at +3. Additional data show activity towards basophilic motifs (R-x-x-S/T) and acidic sequence contexts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Human IKBKE is a 716-residue (~80–84 kDa) kinase comprising:</w:t>
      </w:r>
      <w:r>
        <w:br/>
      </w:r>
      <w:r>
        <w:t xml:space="preserve">• N-terminal kinase domain (aa 9–300; catalytic Lys38; activation-loop Ser172)</w:t>
      </w:r>
      <w:r>
        <w:br/>
      </w:r>
      <w:r>
        <w:t xml:space="preserve">• Ubiquitin-like domain (aa 350–383)</w:t>
      </w:r>
      <w:r>
        <w:br/>
      </w:r>
      <w:r>
        <w:t xml:space="preserve">• C-terminal scaffold/dimerisation domain with leucine-zipper (aa 500–527) and helix-loop-helix (aa 578–619) motifs</w:t>
      </w:r>
      <w:r>
        <w:br/>
      </w:r>
      <w:r>
        <w:t xml:space="preserve">• DDX3-binding region (aa 383–647)</w:t>
      </w:r>
    </w:p>
    <w:p>
      <w:pPr>
        <w:pStyle w:val="BodyText"/>
      </w:pPr>
      <w:r>
        <w:t xml:space="preserve">It lacks the NEMO-binding domain present in canonical IKKs. Structural comparisons with IKKβ/TBK1 show an inactive “αC-out” conformation; activation requires Ser172 phosphorylation (Xu et al., 2011; Tu et al., 2013; Xiao et al., 2022; Yin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Phosphorylation: trans-autophosphorylation on Ser172 (DDX3-facilitated) and Thr501 (STAT1 regulation)</w:t>
      </w:r>
      <w:r>
        <w:br/>
      </w:r>
      <w:r>
        <w:t xml:space="preserve">• Ubiquitination: K63-linked chains at Lys30, Lys401, Met416 via cIAP1/2-TRAF2; K48-linked chains by TRIM6 during IFN signalling</w:t>
      </w:r>
      <w:r>
        <w:br/>
      </w:r>
      <w:r>
        <w:t xml:space="preserve">• SUMOylation: Lys231 promotes nuclear localisation and NF-κB activation after DNA damage</w:t>
      </w:r>
      <w:r>
        <w:br/>
      </w:r>
      <w:r>
        <w:t xml:space="preserve">• Adaptor proteins: TANK, Sintbad and NAP1 localise/activate the kinase (Durand et al., 2018; Xiao et al., 2022; Zhang et al., 2016)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Inducible kinase highly expressed in spleen, thymus and peripheral blood lymphocytes; up-regulated by LPS, TNF-α and IL-1β (Häcker &amp; Karin, 2006).</w:t>
      </w:r>
      <w:r>
        <w:br/>
      </w:r>
      <w:r>
        <w:t xml:space="preserve">Upstream signals: TLR and RIG-I-like receptor pathways.</w:t>
      </w:r>
      <w:r>
        <w:br/>
      </w:r>
      <w:r>
        <w:t xml:space="preserve">Interacting partners: TANK, TRAF2, Sintbad, NAP1, DDX3.</w:t>
      </w:r>
      <w:r>
        <w:br/>
      </w:r>
      <w:r>
        <w:t xml:space="preserve">Principal substrates / pathways:</w:t>
      </w:r>
      <w:r>
        <w:br/>
      </w:r>
      <w:r>
        <w:t xml:space="preserve">• IRF3/7 and STAT1 (Ser708) → type I IFN production</w:t>
      </w:r>
      <w:r>
        <w:br/>
      </w:r>
      <w:r>
        <w:t xml:space="preserve">• RelA/p65, IκBα, CYLD → NF-κB activation</w:t>
      </w:r>
      <w:r>
        <w:br/>
      </w:r>
      <w:r>
        <w:t xml:space="preserve">• NFATc1 → T-cell suppression</w:t>
      </w:r>
      <w:r>
        <w:br/>
      </w:r>
      <w:r>
        <w:t xml:space="preserve">• p62/SQSTM1 → autophagy</w:t>
      </w:r>
      <w:r>
        <w:br/>
      </w:r>
      <w:r>
        <w:t xml:space="preserve">• Akt, GLI1, C/EBPβ → oncogenic signalling (Durand et al., 2018; Yin et al., 2020)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Dual TBK1/IKBKE ATP-competitive inhibitors include BX795, amlexanox, CYT387, MRT67307, WO2009032861 compounds, SAR and Domainex series; BX795 blocks Ser172 autophosphorylation (Durand et al., 2018; Yin et al., 2020; Xiao et al., 2022; Zhang et al., 2016).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human IKBKE gene (chromosome 1q32.1, 22 exons) yields at least three splice variants. Catalytic residue mutation K38A abolishes activity. Over-expression is oncogenic (breast, glioma, pancreatic, ovarian, NSCLC) and contributes to obesity, insulin resistance and NAFLD (Durand et al., 2018; Yin et al., 2020; Xiao et al., 2022).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Bulek, K., Liu, C., Swaidani, S., et al. (2011). The inducible kinase IKKi is required for IL-17-dependent signaling associated with neutrophilia and pulmonary inflammation. Nature Immunology, 12, 844–852. https://doi.org/10.1038/ni.2080</w:t>
      </w:r>
    </w:p>
    <w:p>
      <w:pPr>
        <w:pStyle w:val="BodyText"/>
      </w:pPr>
      <w:r>
        <w:t xml:space="preserve">Durand, J. K., Zhang, Q., &amp; Baldwin, A. S. (2018). Roles for the IKK-related kinases TBK1 and IKKε in cancer. Cells, 7, 139. https://doi.org/10.3390/cells7090139</w:t>
      </w:r>
    </w:p>
    <w:p>
      <w:pPr>
        <w:pStyle w:val="BodyText"/>
      </w:pPr>
      <w:r>
        <w:t xml:space="preserve">Häcker, H., &amp; Karin, M. (2006). Regulation and function of IKK and IKK-related kinases. Science’s STKE, 2006, re13. https://doi.org/10.1126/stke.3572006re13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Tu, D., Zhu, Z., Zhou, A., et al. (2013). Structure and ubiquitination-dependent activation of tank-binding kinase 1. Cell Reports, 3(3), 747–758. https://doi.org/10.1016/j.celrep.2013.01.033</w:t>
      </w:r>
    </w:p>
    <w:p>
      <w:pPr>
        <w:pStyle w:val="BodyText"/>
      </w:pPr>
      <w:r>
        <w:t xml:space="preserve">Wang, N., Ahmed, S., &amp; Haqqi, T. (2005). Genomic structure and functional characterization of the promoter region of human IκB kinase-related kinase IKKi/IKKε gene. Gene, 353, 118–133. https://doi.org/10.1016/j.gene.2005.04.013</w:t>
      </w:r>
    </w:p>
    <w:p>
      <w:pPr>
        <w:pStyle w:val="BodyText"/>
      </w:pPr>
      <w:r>
        <w:t xml:space="preserve">Xiao, Q., He, Q., Li, L., et al. (2022). Role of IKKε in metabolic diseases: Physiology, pathophysiology, and pharmacology. Frontiers in Pharmacology. https://doi.org/10.3389/fphar.2022.888588</w:t>
      </w:r>
    </w:p>
    <w:p>
      <w:pPr>
        <w:pStyle w:val="BodyText"/>
      </w:pPr>
      <w:r>
        <w:t xml:space="preserve">Xu, G., Lo, Y.-C., Li, Q., et al. (2011). Crystal structure of inhibitor of κB kinase β. Nature, 472, 325–330. https://doi.org/10.1038/nature09853</w:t>
      </w:r>
    </w:p>
    <w:p>
      <w:pPr>
        <w:pStyle w:val="BodyText"/>
      </w:pPr>
      <w:r>
        <w:t xml:space="preserve">Yin, M., Wang, X., &amp; Lu, J. (2020). Advances in IKBKE as a potential target for cancer therapy. Cancer Medicine, 9, 247–258. https://doi.org/10.1002/cam4.2678</w:t>
      </w:r>
    </w:p>
    <w:p>
      <w:pPr>
        <w:pStyle w:val="BodyText"/>
      </w:pPr>
      <w:r>
        <w:t xml:space="preserve">Zhang, J., Tian, M., Xia, Z., &amp; Feng, P. (2016). Roles of IκB kinase ε in the innate immune defence and beyond. Virologica Sinica, 31, 457–465. https://doi.org/10.1007/s12250-016-3898-y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2025-07-03T20:33:41Z</dcterms:created>
  <dcterms:modified xsi:type="dcterms:W3CDTF">2025-07-03T20:33:41Z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