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Ribosomal protein S6 kinase α-1 (RSK1; RPS6KA1) belongs to the AGC branch of the human kinome and is the founding member of the p90 RSK subfamily (Lee et al., 2007, pp. 3–5). It shares 72–82 % amino-acid identity with the paralogues RSK2-4 but only ~40 % with the closely related MSK1/2 proteins (Lee et al., 2007, pp. 3–5). Sequence comparison places human RSK1 as the most divergent of the four RSK isoforms (Wright &amp; Lannigan, 2023, pp. 1–3). Orthologues occur throughout metazoans, including mouse, rat, zebrafish, Drosophila, Caenorhabditis elegans and Xenopus laevis, underscoring broad evolutionary conservation (Lee et al., 2007, pp. 5–6; Wright &amp; Lannigan, 2023, pp. 1–3). The RSK family arose during metazoan evolution as part of the expansion of MAPK-responsive signalling modules (Lee et al., 2007, pp. 12–13).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→ ADP + [protein]-O-phospho-Ser/Thr (Unknown Authors, 2015, pp. 208–211).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metal ion, typically Mg²⁺ or Mn²⁺, for ATP coordination (Unknown Authors, 2015, pp. 208–211).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RSK1 preferentially phosphorylates basic consensus sites of the form Arg-X-Arg-X-X-Ser/Thr; basic residues flanking the target residue are critical (Lee et al., 2007, pp. 13–14; Wright &amp; Lannigan, 2023, pp. 3–4). This motif overlaps with recognition sequences of AKT and S6K.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Modular architecture: N-terminal kinase domain (NTKD, AGC fold) executes substrate phosphorylation; C-terminal kinase domain (CTKD, CaMK-like) regulates NTKD; a ~100-residue linker carries regulatory sites Thr359, Ser363 and Ser380 (Lee et al., 2007, pp. 3–5).</w:t>
      </w:r>
      <w:r>
        <w:br/>
      </w:r>
      <w:r>
        <w:t xml:space="preserve">• NTKD crystal structures (2.0 Å) with AMP-PCP, staurosporine or purvalanol A show a bilobal core, disordered activation loop, outward-rotated αC helix and an active-like DFG motif (Ikuta et al., 2007, pp. 1–2).</w:t>
      </w:r>
      <w:r>
        <w:br/>
      </w:r>
      <w:r>
        <w:t xml:space="preserve">• Several NTKD structures replace the canonical αC helix with a three-stranded β-sheet, indicating an unusual catalytic conformation (Utepbergenov &amp; Derewenda, 2013, pp. 4–5).</w:t>
      </w:r>
      <w:r>
        <w:br/>
      </w:r>
      <w:r>
        <w:t xml:space="preserve">• Key regulatory residues: Ser221 (PDK1 site), Ser573 (primary ERK1/2 site in CTKD), Ser380 (autophosphorylated hydrophobic motif) (Lee et al., 2007, pp. 3–5).</w:t>
      </w:r>
      <w:r>
        <w:br/>
      </w:r>
      <w:r>
        <w:t xml:space="preserve">• Isolated CTKD structures for RSK1/2 support an ordered activation mechanism (Utepbergenov &amp; Derewenda, 2013, pp. 4–5).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phosphorylation</w:t>
      </w:r>
      <w:r>
        <w:br/>
      </w:r>
      <w:r>
        <w:t xml:space="preserve">– ERK1/2 phosphorylates CTKD Ser573 and linker Thr359/Ser363, priming the enzyme (Lee et al., 2007, pp. 3–5).</w:t>
      </w:r>
      <w:r>
        <w:br/>
      </w:r>
      <w:r>
        <w:t xml:space="preserve">– CTKD autophosphorylates Ser380, creating a PDK1 docking motif (Lee et al., 2007, pp. 3–5).</w:t>
      </w:r>
      <w:r>
        <w:br/>
      </w:r>
      <w:r>
        <w:t xml:space="preserve">– PDK1 phosphorylates NTKD Ser221 to confer full activity (Lee et al., 2007, pp. 3–5).</w:t>
      </w:r>
      <w:r>
        <w:br/>
      </w:r>
      <w:r>
        <w:t xml:space="preserve">– mTOR phosphorylates the hydrophobic motif while RSK1 is bound to the eIF3 complex, promoting release for EIF4B phosphorylation (Lee et al., 2007, pp. 9–10).</w:t>
      </w:r>
    </w:p>
    <w:p>
      <w:pPr>
        <w:pStyle w:val="BodyText"/>
      </w:pPr>
      <w:r>
        <w:t xml:space="preserve">Allosteric and conformational control</w:t>
      </w:r>
      <w:r>
        <w:br/>
      </w:r>
      <w:r>
        <w:t xml:space="preserve">– Direct ERK docking to CTKD is required for sequential phosphorylation (Lee et al., 2007, pp. 3–5).</w:t>
      </w:r>
      <w:r>
        <w:br/>
      </w:r>
      <w:r>
        <w:t xml:space="preserve">– The extreme C-terminal tail autoinhibits CTKD; its truncation yields constitutive activity (Wright &amp; Lannigan, 2023, pp. 1–3).</w:t>
      </w:r>
    </w:p>
    <w:p>
      <w:pPr>
        <w:pStyle w:val="BodyText"/>
      </w:pPr>
      <w:r>
        <w:t xml:space="preserve">Protein-protein interactions</w:t>
      </w:r>
      <w:r>
        <w:br/>
      </w:r>
      <w:r>
        <w:t xml:space="preserve">– 14-3-3 proteins bind phosphorylated RSK substrates, influencing stability and localisation (Lee et al., 2007, pp. 8–9, 12–13).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Ubiquitously expressed; elevated in proliferative tissues and in neurons with high synaptic activity (Lee et al., 2007, pp. 10–12).</w:t>
      </w:r>
    </w:p>
    <w:p>
      <w:pPr>
        <w:pStyle w:val="BodyText"/>
      </w:pPr>
      <w:r>
        <w:t xml:space="preserve">Upstream regulators</w:t>
      </w:r>
      <w:r>
        <w:br/>
      </w:r>
      <w:r>
        <w:t xml:space="preserve">Activated downstream of the MEK-ERK cascade; PDK1 and mTOR provide sequential inputs, while MOS can substitute for MEK during oocyte meiosis (Lee et al., 2007, pp. 3–6, 9–10).</w:t>
      </w:r>
    </w:p>
    <w:p>
      <w:pPr>
        <w:pStyle w:val="BodyText"/>
      </w:pPr>
      <w:r>
        <w:t xml:space="preserve">Downstream substrates and processes</w:t>
      </w:r>
      <w:r>
        <w:br/>
      </w:r>
      <w:r>
        <w:t xml:space="preserve">– Translation: phosphorylates EIF4B Ser422 and ribosomal protein S6 to enhance cap-dependent translation (Lee et al., 2007, pp. 9–10).</w:t>
      </w:r>
      <w:r>
        <w:br/>
      </w:r>
      <w:r>
        <w:t xml:space="preserve">– mTOR pathway: phosphorylates TSC2 Ser1798, stimulating S6K1 (Lee et al., 2007, pp. 9–10).</w:t>
      </w:r>
      <w:r>
        <w:br/>
      </w:r>
      <w:r>
        <w:t xml:space="preserve">– Cell cycle: regulates Myt1, Bub1 and p27^Kip1 to promote G2/M and S-phase progression (Lee et al., 2007, pp. 5–6, 10–12).</w:t>
      </w:r>
      <w:r>
        <w:br/>
      </w:r>
      <w:r>
        <w:t xml:space="preserve">– Survival: phosphorylates BAD Ser155, GSK3α/β and DAPK1 to inhibit apoptosis (Lee et al., 2007, pp. 8–9, 10–12).</w:t>
      </w:r>
      <w:r>
        <w:br/>
      </w:r>
      <w:r>
        <w:t xml:space="preserve">– NF-κB signalling: associates with IKK-2 to facilitate IκBα Ser32 phosphorylation (Lee et al., 2007, pp. 8–9).</w:t>
      </w:r>
      <w:r>
        <w:br/>
      </w:r>
      <w:r>
        <w:t xml:space="preserve">– Transcription: targets CREB, CBP/p300, NR4A1 and ETV1 to drive immediate-early gene expression (Lee et al., 2007, pp. 8–9, 10–12).</w:t>
      </w:r>
      <w:r>
        <w:br/>
      </w:r>
      <w:r>
        <w:t xml:space="preserve">– Neuronal signalling: interacts with PDZ-domain proteins to modulate AMPA receptor transmission; constitutive activation induces neurite outgrowth in PC12 cells (Lee et al., 2007, pp. 9–10, 14–15).</w:t>
      </w:r>
      <w:r>
        <w:br/>
      </w:r>
      <w:r>
        <w:t xml:space="preserve">Feedback</w:t>
      </w:r>
      <w:r>
        <w:br/>
      </w:r>
      <w:r>
        <w:t xml:space="preserve">Acts as a negative regulator of upstream ERK1/2 activity (Wright &amp; Lannigan, 2023, pp. 3–4).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SL0101 (flavonol rhamnoside) selectively targets the NTKD and suppresses proliferation of RSK-dependent cancer cells (Lee et al., 2007, pp. 9–10; Utepbergenov &amp; Derewenda, 2013, pp. 4–5).</w:t>
      </w:r>
      <w:r>
        <w:br/>
      </w:r>
      <w:r>
        <w:t xml:space="preserve">BI-D1870 is a selective pan-RSK inhibitor with a co-crystal structure in the NTKD (Ikuta et al., 2007, p. 10).</w:t>
      </w:r>
      <w:r>
        <w:br/>
      </w:r>
      <w:r>
        <w:t xml:space="preserve">PMD-026 is a clinical-stage pan-RSK inhibitor under evaluation for metastatic breast cancer (Wright &amp; Lannigan, 2023, pp. 1–3).</w:t>
      </w:r>
      <w:r>
        <w:br/>
      </w:r>
      <w:r>
        <w:t xml:space="preserve">LJH685 is cited as a tool compound for RSK inhibition (Wright &amp; Lannigan, 2023, pp. 1–3).</w:t>
      </w:r>
      <w:r>
        <w:br/>
      </w:r>
      <w:r>
        <w:t xml:space="preserve">Staurosporine and purvalanol A are broad-spectrum kinase inhibitors crystallised with the NTKD (Ikuta et al., 2007, pp. 1–2).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RSK1 activity is elevated in several cancers (e.g., breast and lung), where it promotes proliferation, metastasis and resistance to endocrine therapy (Wright &amp; Lannigan, 2023, pp. 3–4; Utepbergenov &amp; Derewenda, 2013, pp. 4–5). Mouse Rsk1 knockouts are viable but show defects in fertility, lactation and immune function, suggesting a potential therapeutic window for RSK1 inhibition (Wright &amp; Lannigan, 2023, pp. 1–3).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Ikuta, M., Kornienko, M., Byrne, N., Reid, J. C., Mizuarai, S., Kotani, H., &amp; Munshi, S. K. (2007). Crystal structures of the N-terminal kinase domain of human RSK1 bound to three different ligands: Implications for the design of RSK1 specific inhibitors. Protein Science, 16, 2626–2635. https://doi.org/10.1110/ps.073123707</w:t>
      </w:r>
    </w:p>
    <w:p>
      <w:pPr>
        <w:pStyle w:val="BodyText"/>
      </w:pPr>
      <w:r>
        <w:t xml:space="preserve">Lee, K. Y., Bignone, P. A., &amp; Ganesan, T. S. (2007). P90 ribosomal S6 kinases—eclectic members of the human kinome. Signal Transduction, 7, 225–239. https://doi.org/10.1002/sita.200600091</w:t>
      </w:r>
    </w:p>
    <w:p>
      <w:pPr>
        <w:pStyle w:val="BodyText"/>
      </w:pPr>
      <w:r>
        <w:t xml:space="preserve">Utepbergenov, D., &amp; Derewenda, Z. (2013). The unusual mechanism of inhibition of the p90 ribosomal S6 kinase (RSK) by flavonol rhamnosides. Biochimica et Biophysica Acta, 1834(7), 1285–1291. https://doi.org/10.1016/j.bbapap.2013.03.018</w:t>
      </w:r>
    </w:p>
    <w:p>
      <w:pPr>
        <w:pStyle w:val="BodyText"/>
      </w:pPr>
      <w:r>
        <w:t xml:space="preserve">Unknown Authors. (2015). Développement de nouvelles approches protéo-chimiométriques appliquées à l’étude des interactions et de la sélectivité des inhibiteurs de kinases (pp. 208–211).</w:t>
      </w:r>
    </w:p>
    <w:p>
      <w:pPr>
        <w:pStyle w:val="BodyText"/>
      </w:pPr>
      <w:r>
        <w:t xml:space="preserve">Wright, E. B., &amp; Lannigan, D. A. (2023). Therapeutic targeting of p90 ribosomal S6 kinase. Frontiers in Cell and Developmental Biology. https://doi.org/10.3389/fcell.2023.1297292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2025-07-03T18:40:07Z</dcterms:created>
  <dcterms:modified xsi:type="dcterms:W3CDTF">2025-07-03T18:40:07Z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