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CaMKIV clusters within the monomeric CaMKI/IV subgroup of the Ca²⁺/calmodulin-dependent kinase (CaMK) family and is clearly separated from the multimeric CaMKII enzymes (Bayer &amp; Schulman, 2019). Orthologues are reported in at least 69 species spanning animals, fungi and plants, underscoring strong evolutionary conservation (Naz et al., 2016). The human CAMK4 gene resides at chromosome 5q21.3, a locus that is syntenically conserved throughout vertebrates (Naz et al., 2016). In Ca²⁺/CaM signalling cascades, CaMKIV acts downstream of CaMKK1/2 and in parallel with CaMKI isoforms, reflecting their shared ancestry (Beghi et al.,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L-serine/threonine ⇌ ADP + protein L-serine/threonine-phosphate (Naz et al.,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Full activity requires Ca²⁺/calmodulin to relieve autoinhibition and Mg²⁺ for ATP coordination (Beghi et al., 2022; Santiago et al.,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CaMKIV prefers the consensus Hyd-X-Arg-X-X-Ser/Thr, favouring a hydrophobic residue at –3 and Arg at –2 relative to the phosphoacceptor. This motif has been validated with CREB and synapsin peptides (Corcoran &amp; Means, 2001; Naz et al.,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473-residue monomer consists of:</w:t>
      </w:r>
      <w:r>
        <w:br/>
      </w:r>
      <w:r>
        <w:t xml:space="preserve">(i) catalytic domain (46–300) harbouring Lys75, Asp164 and the 52-LGRGATSIV-60 nucleotide-binding motif;</w:t>
      </w:r>
      <w:r>
        <w:br/>
      </w:r>
      <w:r>
        <w:t xml:space="preserve">(ii) overlapping autoinhibitory and PP2A-binding segment (305–323);</w:t>
      </w:r>
      <w:r>
        <w:br/>
      </w:r>
      <w:r>
        <w:t xml:space="preserve">(iii) CaM-binding helix (322–341);</w:t>
      </w:r>
      <w:r>
        <w:br/>
      </w:r>
      <w:r>
        <w:t xml:space="preserve">(iv) N-terminal Ser12/Ser13 autophosphorylation region;</w:t>
      </w:r>
      <w:r>
        <w:br/>
      </w:r>
      <w:r>
        <w:t xml:space="preserve">(v) short C-terminal tail (Beg et al., 2019).</w:t>
      </w:r>
      <w:r>
        <w:br/>
      </w:r>
      <w:r>
        <w:t xml:space="preserve">The crystal structure of the kinase domain (PDB 2W4O) adopts a canonical bilobal fold with 13 α-helices and 8 β-strands; phosphorylation of Thr196 (Thr200 in full-length) aligns the αC-helix and completes the regulatory spine (Naz et al., 2016). In the basal state, the His305–Lys321 helix occludes the active site and is displaced upon Ca²⁺/CaM binding (Naz et al., 2016). A hydrophobic pocket adjacent to the hinge accommodates ATP-competitive inhibitors identified by virtual screening (Beg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Ca²⁺/CaM binding to residues 322–341 dislodges the autoinhibitory helix and initiates basal activity (Naz et al., 2016).</w:t>
      </w:r>
      <w:r>
        <w:br/>
      </w:r>
      <w:r>
        <w:t xml:space="preserve">• CaMKK1/2 phosphorylate Thr196/Thr200, increasing catalytic efficiency 10–20-fold (Beghi et al., 2022).</w:t>
      </w:r>
      <w:r>
        <w:br/>
      </w:r>
      <w:r>
        <w:t xml:space="preserve">• Autophosphorylation at Ser12/Ser13 sustains Ca²⁺-independent activity (Naz et al., 2016).</w:t>
      </w:r>
      <w:r>
        <w:br/>
      </w:r>
      <w:r>
        <w:t xml:space="preserve">• PP2A docks to residues 306–323, removes the Thr200 phosphate and inactivates the kinase; PP2A binding is mutually exclusive with CaM (Naz et al., 2016).</w:t>
      </w:r>
      <w:r>
        <w:br/>
      </w:r>
      <w:r>
        <w:t xml:space="preserve">• O-GlcNAcylation at Thr57/Ser58, Ser137, Ser189, Ser344/345 and Ser356 lowers Thr200 phosphorylation and suppresses activity (Naz et al., 2016).</w:t>
      </w:r>
      <w:r>
        <w:br/>
      </w:r>
      <w:r>
        <w:t xml:space="preserve">• PKA-mediated Ser458 phosphorylation of CaMKK1 limits Thr200 phosphorylation, integrating cAMP and Ca²⁺ signals (Beghi et al.,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 in hippocampus, cerebellar granule cells, cortex, CD4⁺ T cells, testis and sperm flagella, with lower levels in pancreatic β-cells and dendritic cells (Beg et al., 2019; Naz et al., 2016). Upstream activators are CaMKK1/2, and PP2A provides opposing phosphatase activity (Beghi et al., 2022; Naz et al., 2016). Nuclear CaMKIV phosphorylates CREB1 (Ser133), MEF2D, JUN and RORα, thereby regulating genes involved in cytokine production (IL-2, IFN-γ, IL-4), dendritic-cell survival (BCL2), osteoclast differentiation (NFATc1) and synaptic plasticity (BDNF) (Corcoran &amp; Means, 2001; Naz et al., 2016; Beg et al., 2019). Camk4 deletion elevates blood pressure, enlarges cerebral infarcts and impairs spatial memory, highlighting cardiovascular and neuroprotective roles (Beghi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KN-62 (IC₅₀ ≈ 1 µM) and KN-93 (IC₅₀ ≈ 0.4 µM) inhibit CaMKIV but also target CaMKI/II (Naz et al., 2016). Additional low-micromolar ATP-competitive inhibitors include (2S,4S)-α-campholinic acid, 3-{[(3S)-3,4-dihydroxybutyl]oxy}amino-1H,2’H-2,3’-biindol-2’-one, and 5-amino-3-{[4-(aminosulfonyl)phenyl]amino}-N-(2,6-difluorophenyl)-1H-1,2,4-triazole-1-carbothioamide (Naz et al., 2016). Virtual high-throughput screening has also identified natural-product derivatives that stably occupy the ATP pocket (Beg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CAMK4 over-expression or hyperactivation is reported in small-cell lung, hepatocellular and epithelial ovarian cancers (Beg et al., 2019; Naz et al., 2016). Enhanced CaMKIV signalling in T cells contributes to systemic lupus erythematosus, and pharmacological inhibition mitigates disease in models (Naz et al., 2016). The hypertensive risk allele rs10491334 lowers CAMK4 expression, and Camk4-null mice display sterility and memory deficits, underscoring broad physiological importance (Beghi et al., 2022; Naz et al., 2016).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Bayer, K. U., &amp; Schulman, H. (2019). CaM kinase: Still inspiring at 40. Neuron, 103(3), 380–394. https://doi.org/10.1016/j.neuron.2019.05.033</w:t>
      </w:r>
    </w:p>
    <w:p>
      <w:pPr>
        <w:pStyle w:val="BodyText"/>
      </w:pPr>
      <w:r>
        <w:t xml:space="preserve">Beghi, S., Furmanik, M., Jaminon, A., Veltrop, R., Rapp, N., Wichapong, K., Bidar, E., Buschini, A., &amp; Schurgers, L. (2022). Calcium signalling in heart and vessels: Role of calmodulin and downstream calmodulin-dependent protein kinases. International Journal of Molecular Sciences, 23(24), 16139. https://doi.org/10.3390/ijms232416139</w:t>
      </w:r>
    </w:p>
    <w:p>
      <w:pPr>
        <w:pStyle w:val="BodyText"/>
      </w:pPr>
      <w:r>
        <w:t xml:space="preserve">Beg, A., Khan, F. I., Lobb, K. A., Islam, A., Ahmad, F., &amp; Hassan, M. I. (2019). High-throughput screening, docking, and molecular dynamics studies to identify potential inhibitors of human calcium/calmodulin-dependent protein kinase IV. Journal of Biomolecular Structure and Dynamics, 37(8), 2179–2192. https://doi.org/10.1080/07391102.2018.1479310</w:t>
      </w:r>
    </w:p>
    <w:p>
      <w:pPr>
        <w:pStyle w:val="BodyText"/>
      </w:pPr>
      <w:r>
        <w:t xml:space="preserve">Corcoran, E., &amp; Means, A. R. (2001). Defining Ca²⁺/calmodulin-dependent protein kinase cascades in transcriptional regulation. The Journal of Biological Chemistry, 276(4), 2975–2978. https://doi.org/10.1074/jbc.R000027200</w:t>
      </w:r>
    </w:p>
    <w:p>
      <w:pPr>
        <w:pStyle w:val="BodyText"/>
      </w:pPr>
      <w:r>
        <w:t xml:space="preserve">Naz, H., Islam, A., Ahmad, F., &amp; Hassan, M. I. (2016). Calcium/calmodulin-dependent protein kinase IV: A multifunctional enzyme and potential therapeutic target. Progress in Biophysics and Molecular Biology, 121(1), 54–65. https://doi.org/10.1016/j.pbiomolbio.2015.12.016</w:t>
      </w:r>
    </w:p>
    <w:p>
      <w:pPr>
        <w:pStyle w:val="BodyText"/>
      </w:pPr>
      <w:r>
        <w:t xml:space="preserve">Santiago, A. S., Couñago, R., Ramos, P. Z., Godoi, P., Massirer, K., Gileadi, O., &amp; Elkins, J. (2018). Structural analysis of inhibitor binding to CAMKK1 identifies features necessary for design of specific inhibitors. Scientific Reports, 8, 121. https://doi.org/10.1038/s41598-018-33043-4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2025-07-03T20:28:42Z</dcterms:created>
  <dcterms:modified xsi:type="dcterms:W3CDTF">2025-07-03T20:28:42Z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