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PAN3 orthologs are found throughout eukaryotes, including humans, mouse,</w:t>
      </w:r>
      <w:r>
        <w:t xml:space="preserve"> </w:t>
      </w:r>
      <w:r>
        <w:rPr>
          <w:i/>
          <w:iCs/>
        </w:rPr>
        <w:t xml:space="preserve">Drosophila</w:t>
      </w:r>
      <w:r>
        <w:t xml:space="preserve">,</w:t>
      </w:r>
      <w:r>
        <w:t xml:space="preserve"> </w:t>
      </w:r>
      <w:r>
        <w:rPr>
          <w:i/>
          <w:iCs/>
        </w:rPr>
        <w:t xml:space="preserve">Caenorhabditis elegans</w:t>
      </w:r>
      <w:r>
        <w:t xml:space="preserve">,</w:t>
      </w:r>
      <w:r>
        <w:t xml:space="preserve"> </w:t>
      </w:r>
      <w:r>
        <w:rPr>
          <w:i/>
          <w:iCs/>
        </w:rPr>
        <w:t xml:space="preserve">Xenopus</w:t>
      </w:r>
      <w:r>
        <w:t xml:space="preserve">,</w:t>
      </w:r>
      <w:r>
        <w:t xml:space="preserve"> </w:t>
      </w:r>
      <w:r>
        <w:rPr>
          <w:i/>
          <w:iCs/>
        </w:rPr>
        <w:t xml:space="preserve">Neurospora crassa</w:t>
      </w:r>
      <w:r>
        <w:t xml:space="preserve">,</w:t>
      </w:r>
      <w:r>
        <w:t xml:space="preserve"> </w:t>
      </w:r>
      <w:r>
        <w:rPr>
          <w:i/>
          <w:iCs/>
        </w:rPr>
        <w:t xml:space="preserve">Chaetomium thermophilum</w:t>
      </w:r>
      <w:r>
        <w:t xml:space="preserve">, and the yeasts</w:t>
      </w:r>
      <w:r>
        <w:t xml:space="preserve"> </w:t>
      </w:r>
      <w:r>
        <w:rPr>
          <w:i/>
          <w:iCs/>
        </w:rPr>
        <w:t xml:space="preserve">Saccharomyces cerevisiae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Schizosaccharomyces pombe</w:t>
      </w:r>
      <w:r>
        <w:t xml:space="preserve"> </w:t>
      </w:r>
      <w:r>
        <w:t xml:space="preserve">(Brown et al., 1996; Verma et al., 2024; Wolf et al., 2014). The protein contains a kinase-like fold but lacks the catalytic residues required for phosphotransfer and is therefore classified as a pseudokinase; accordingly, it is omitted from kinome catalogues (Christie et al., 2013; Verma et al., 2024).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Within the heterotrimeric PAN2-PAN3 complex, PAN2 is the catalytic subunit, and the assembled enzyme removes adenosine residues from the 3′ poly(A) tail of mRNA in a 3′→5′ exonucleolytic reaction:</w:t>
      </w:r>
    </w:p>
    <w:p>
      <w:pPr>
        <w:pStyle w:val="BodyText"/>
      </w:pPr>
      <w:r>
        <w:t xml:space="preserve">poly(A)ₙ + H₂O → poly(A)ₙ₋₁ + AMP (Martin &amp; Coller, 2014; Schäfer et al., 2019).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Deadenylation by the PAN2-PAN3 complex requires divalent metal ions, typically Mg²⁺ (Unknown Authors, 2020a). The PAN3 pseudokinase domain binds ATP, although it is catalytically inactive (Wolf et al., 2014; Unknown Authors, 2014).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complex selectively targets the 3′ poly(A) tail of mRNAs (Wolf et al., 2014; Unknown Authors, 2020b). PAN3 enhances specificity through:</w:t>
      </w:r>
      <w:r>
        <w:br/>
      </w:r>
      <w:r>
        <w:t xml:space="preserve">• a PAM2 motif that interacts with poly(A)-binding protein (PABP), tethering the enzyme to polyadenylated transcripts (Mangus et al., 2004; Wolf et al., 2014);</w:t>
      </w:r>
      <w:r>
        <w:br/>
      </w:r>
      <w:r>
        <w:t xml:space="preserve">• a CCCH-type zinc-finger that contacts poly(A) RNA directly (Verma et al., 2024; Unknown Authors, 2020a).</w:t>
      </w:r>
      <w:r>
        <w:br/>
      </w:r>
      <w:r>
        <w:t xml:space="preserve">The stacked helical conformation of pure poly(A) is preferred; incorporation of guanosines into the tail strongly inhibits deadenylation (Tang et al., 2019; Unknown Authors, 2020a).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PAN3 contains an N-terminal intrinsically disordered region with a CCCH zinc finger and PAM2 motif, a central pseudokinase (PK) domain, an intervening coiled-coil (CC) region, and a C-terminal knob (CK) domain (Wolf et al., 2014; Unknown Authors, 2014). The CC mediates formation of an asymmetric PAN3 homodimer; one such dimer associates with a single PAN2 molecule to form the active heterotrimer (Schäfer, 2014; Zhang et al., 2023). Dimerization also creates a tryptophan-binding pocket for GW182/TNRC6 proteins (Christie et al., 2013). The PK domain adopts the canonical bilobal kinase fold but lacks the catalytic Lys-Asp pair (Christie et al., 2013).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PAN3 is subject to multisite phosphorylation. In yeast, Pho85-Pcl1 phosphorylates T57 and S252 of Pan3p; in mammals, Cdk5 phosphorylates PAN3 (Unknown Authors, 1980; Verma et al., 2024). Phosphorylation modulates PABP binding and subcellular localization: hypophosphorylated variants accumulate in cytoplasmic P-bodies, whereas hyper-phosphorylated mimetics relocalize to the nucleus (Unknown Authors, 1980). ATP binding to the pseudokinase domain further influences complex stability and activity (Schäfer, 2014; Christie et al., 2013).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PAN3 acts as the regulatory subunit of the cytoplasmic PAN deadenylase, localizing to P-bodies where it:</w:t>
      </w:r>
      <w:r>
        <w:br/>
      </w:r>
      <w:r>
        <w:t xml:space="preserve">• recruits PAN2 to polyadenylated mRNAs via PAM2–PABP and zinc-finger–RNA contacts (Wolf et al., 2014);</w:t>
      </w:r>
      <w:r>
        <w:br/>
      </w:r>
      <w:r>
        <w:t xml:space="preserve">• engages GW182/TNRC6 proteins, linking the complex to miRNA-mediated silencing (Christie et al., 2013);</w:t>
      </w:r>
      <w:r>
        <w:br/>
      </w:r>
      <w:r>
        <w:t xml:space="preserve">• interacts with Dun1 kinase and the RNA-binding protein MEX3 (Wolf et al., 2014; Unknown Authors, 2020c).</w:t>
      </w:r>
      <w:r>
        <w:br/>
      </w:r>
      <w:r>
        <w:t xml:space="preserve">In</w:t>
      </w:r>
      <w:r>
        <w:t xml:space="preserve"> </w:t>
      </w:r>
      <w:r>
        <w:rPr>
          <w:i/>
          <w:iCs/>
        </w:rPr>
        <w:t xml:space="preserve">S. cerevisiae</w:t>
      </w:r>
      <w:r>
        <w:t xml:space="preserve">, deletion of PAN3 abolishes PAN activity, lengthens poly(A) tails, and renders cells sensitive to nocodazole (Brown et al., 1996; Verma et al., 2024). In mammalian cells, PAN3 maintains spindle integrity and supports survival under microtubule stress (Verma et al., 2024).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No disease-linked PAN3 mutations are reported in the cited literature. Mutations in the ATP-binding pocket impair mRNA decay, and mutations that disrupt PAN2 binding abolish deadenylation (Christie et al., 2013).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Brown, C. E., Tarun, S. Z., Boeck, R., &amp; Sachs, A. B. (1996).</w:t>
      </w:r>
      <w:r>
        <w:t xml:space="preserve"> </w:t>
      </w:r>
      <w:r>
        <w:rPr>
          <w:i/>
          <w:iCs/>
        </w:rPr>
        <w:t xml:space="preserve">PAN3 encodes a subunit of the Pab1p-dependent poly(A) nuclease in</w:t>
      </w:r>
      <w:r>
        <w:t xml:space="preserve"> </w:t>
      </w:r>
      <w:r>
        <w:t xml:space="preserve">Saccharomyces cerevisiae.</w:t>
      </w:r>
      <w:r>
        <w:t xml:space="preserve"> </w:t>
      </w:r>
      <w:r>
        <w:rPr>
          <w:i/>
          <w:iCs/>
        </w:rPr>
        <w:t xml:space="preserve">Molecular and Cellular Biology, 16</w:t>
      </w:r>
      <w:r>
        <w:t xml:space="preserve">, 5744–5753. https://doi.org/10.1128/MCB.16.10.5744</w:t>
      </w:r>
    </w:p>
    <w:p>
      <w:pPr>
        <w:pStyle w:val="BodyText"/>
      </w:pPr>
      <w:r>
        <w:t xml:space="preserve">Christie, M., Boland, A., Huntzinger, E., Weichenrieder, O., &amp; Izaurralde, E. (2013). Structure of the PAN3 pseudokinase reveals the basis for interactions with the PAN2 deadenylase and the GW182 proteins.</w:t>
      </w:r>
      <w:r>
        <w:t xml:space="preserve"> </w:t>
      </w:r>
      <w:r>
        <w:rPr>
          <w:i/>
          <w:iCs/>
        </w:rPr>
        <w:t xml:space="preserve">Molecular Cell, 51</w:t>
      </w:r>
      <w:r>
        <w:t xml:space="preserve">, 360–373. https://doi.org/10.1016/j.molcel.2013.07.011</w:t>
      </w:r>
    </w:p>
    <w:p>
      <w:pPr>
        <w:pStyle w:val="BodyText"/>
      </w:pPr>
      <w:r>
        <w:t xml:space="preserve">Mangus, D. A., Evans, M. C., Agrin, N. S., Smith, M., Gongidi, P., &amp; Jacobson, A. (2004). Positive and negative regulation of poly(A) nuclease.</w:t>
      </w:r>
      <w:r>
        <w:t xml:space="preserve"> </w:t>
      </w:r>
      <w:r>
        <w:rPr>
          <w:i/>
          <w:iCs/>
        </w:rPr>
        <w:t xml:space="preserve">Molecular and Cellular Biology, 24</w:t>
      </w:r>
      <w:r>
        <w:t xml:space="preserve">, 5521–5533. https://doi.org/10.1128/MCB.24.12.5521-5533.2004</w:t>
      </w:r>
    </w:p>
    <w:p>
      <w:pPr>
        <w:pStyle w:val="BodyText"/>
      </w:pPr>
      <w:r>
        <w:t xml:space="preserve">Martin, S., &amp; Coller, J. (2014). Pan-orama: three convergent views of a eukaryotic deadenylase.</w:t>
      </w:r>
      <w:r>
        <w:t xml:space="preserve"> </w:t>
      </w:r>
      <w:r>
        <w:rPr>
          <w:i/>
          <w:iCs/>
        </w:rPr>
        <w:t xml:space="preserve">Nature Structural &amp; Molecular Biology, 21</w:t>
      </w:r>
      <w:r>
        <w:t xml:space="preserve">, 577–578. https://doi.org/10.1038/nsmb.2850</w:t>
      </w:r>
    </w:p>
    <w:p>
      <w:pPr>
        <w:pStyle w:val="BodyText"/>
      </w:pPr>
      <w:r>
        <w:t xml:space="preserve">Schäfer, I. B., Rode, M., Bonneau, F., Schüssler, S., &amp; Conti, E. (2014). The structure of the PAN2–PAN3 core complex reveals cross-talk between deadenylase and pseudokinase.</w:t>
      </w:r>
      <w:r>
        <w:t xml:space="preserve"> </w:t>
      </w:r>
      <w:r>
        <w:rPr>
          <w:i/>
          <w:iCs/>
        </w:rPr>
        <w:t xml:space="preserve">Nature Structural &amp; Molecular Biology, 21</w:t>
      </w:r>
      <w:r>
        <w:t xml:space="preserve">, 591–598. https://doi.org/10.1038/nsmb.2834</w:t>
      </w:r>
    </w:p>
    <w:p>
      <w:pPr>
        <w:pStyle w:val="BodyText"/>
      </w:pPr>
      <w:r>
        <w:t xml:space="preserve">Schäfer, I. B., Yamashita, M., Schuller, J., Schüssler, S., Reichelt, P., Strauss, M., &amp; Conti, E. (2019). Molecular basis for poly(A) RNP architecture and recognition by the PAN2-PAN3 deadenylase.</w:t>
      </w:r>
      <w:r>
        <w:t xml:space="preserve"> </w:t>
      </w:r>
      <w:r>
        <w:rPr>
          <w:i/>
          <w:iCs/>
        </w:rPr>
        <w:t xml:space="preserve">Cell, 177</w:t>
      </w:r>
      <w:r>
        <w:t xml:space="preserve">, 1619–1631.e21. https://doi.org/10.1016/j.cell.2019.04.013</w:t>
      </w:r>
    </w:p>
    <w:p>
      <w:pPr>
        <w:pStyle w:val="BodyText"/>
      </w:pPr>
      <w:r>
        <w:t xml:space="preserve">Tang, T., Stowell, J., Hill, C., &amp; Passmore, L. A. (2019). The intrinsic structure of poly(A) RNA determines the specificity of PAN2 and CAF1 deadenylases.</w:t>
      </w:r>
      <w:r>
        <w:t xml:space="preserve"> </w:t>
      </w:r>
      <w:r>
        <w:rPr>
          <w:i/>
          <w:iCs/>
        </w:rPr>
        <w:t xml:space="preserve">Nature Structural &amp; Molecular Biology, 26</w:t>
      </w:r>
      <w:r>
        <w:t xml:space="preserve">, 433–442. https://doi.org/10.1038/s41594-019-0227-9</w:t>
      </w:r>
    </w:p>
    <w:p>
      <w:pPr>
        <w:pStyle w:val="BodyText"/>
      </w:pPr>
      <w:r>
        <w:t xml:space="preserve">Verma, J., He, Z., Brown, J. A. R., Dean, P., Young, B. P., Flibotte, S., Howe, L. J., Maxwell, C. D., Roskelley, C. D., &amp; Loewen, C. J. R. (2024). Pan deadenylase ensures proper mitosis under conditions of microtubule stress by regulating spindle integrity and promoting cell survival.</w:t>
      </w:r>
      <w:r>
        <w:t xml:space="preserve"> </w:t>
      </w:r>
      <w:r>
        <w:rPr>
          <w:i/>
          <w:iCs/>
        </w:rPr>
        <w:t xml:space="preserve">bioRxiv</w:t>
      </w:r>
      <w:r>
        <w:t xml:space="preserve">. https://doi.org/10.1101/2024.05.01.591760</w:t>
      </w:r>
    </w:p>
    <w:p>
      <w:pPr>
        <w:pStyle w:val="BodyText"/>
      </w:pPr>
      <w:r>
        <w:t xml:space="preserve">Wolf, J., Valkov, E., Allen, M. D., Meineke, B., Gordiyenko, Y., McLaughlin, S. H., Olsen, T. M., Robinson, C. V., Bycroft, M., Stewart, M., &amp; Passmore, L. A. (2014). Structural basis for PAN3 binding to PAN2 and its function in mRNA recruitment and deadenylation.</w:t>
      </w:r>
      <w:r>
        <w:t xml:space="preserve"> </w:t>
      </w:r>
      <w:r>
        <w:rPr>
          <w:i/>
          <w:iCs/>
        </w:rPr>
        <w:t xml:space="preserve">The EMBO Journal, 33</w:t>
      </w:r>
      <w:r>
        <w:t xml:space="preserve">, 1514–1526. https://doi.org/10.15252/embj.201488373</w:t>
      </w:r>
    </w:p>
    <w:p>
      <w:pPr>
        <w:pStyle w:val="BodyText"/>
      </w:pPr>
      <w:r>
        <w:t xml:space="preserve">Yan, Y.-B. (2014). Deadenylation: enzymes, regulation, and functional implications.</w:t>
      </w:r>
      <w:r>
        <w:t xml:space="preserve"> </w:t>
      </w:r>
      <w:r>
        <w:rPr>
          <w:i/>
          <w:iCs/>
        </w:rPr>
        <w:t xml:space="preserve">Wiley Interdisciplinary Reviews: RNA</w:t>
      </w:r>
      <w:r>
        <w:t xml:space="preserve">. https://doi.org/10.1002/wrna.1221</w:t>
      </w:r>
    </w:p>
    <w:p>
      <w:pPr>
        <w:pStyle w:val="BodyText"/>
      </w:pPr>
      <w:r>
        <w:t xml:space="preserve">Zhang, G., Luo, H., Li, X., Hu, Z., &amp; Wang, Q. (2023). The dynamic poly(A) tail acts as a signal hub in mRNA metabolism.</w:t>
      </w:r>
      <w:r>
        <w:t xml:space="preserve"> </w:t>
      </w:r>
      <w:r>
        <w:rPr>
          <w:i/>
          <w:iCs/>
        </w:rPr>
        <w:t xml:space="preserve">Cells, 12</w:t>
      </w:r>
      <w:r>
        <w:t xml:space="preserve">, 40572. https://doi.org/10.3390/cells12040572</w:t>
      </w:r>
    </w:p>
    <w:p>
      <w:pPr>
        <w:pStyle w:val="BodyText"/>
      </w:pPr>
      <w:r>
        <w:t xml:space="preserve">Unknown Authors. (1980).</w:t>
      </w:r>
      <w:r>
        <w:t xml:space="preserve"> </w:t>
      </w:r>
      <w:r>
        <w:rPr>
          <w:i/>
          <w:iCs/>
        </w:rPr>
        <w:t xml:space="preserve">Functions of deadenylation factors in mRNA decay and mRNA processing body formation</w:t>
      </w:r>
      <w:r>
        <w:t xml:space="preserve"> </w:t>
      </w:r>
      <w:r>
        <w:t xml:space="preserve">(pp. 50–80).</w:t>
      </w:r>
    </w:p>
    <w:p>
      <w:pPr>
        <w:pStyle w:val="BodyText"/>
      </w:pPr>
      <w:r>
        <w:t xml:space="preserve">Unknown Authors. (2014).</w:t>
      </w:r>
      <w:r>
        <w:t xml:space="preserve"> </w:t>
      </w:r>
      <w:r>
        <w:rPr>
          <w:i/>
          <w:iCs/>
        </w:rPr>
        <w:t xml:space="preserve">Structural characterization of eukaryotic mRNA decay factors involved in post-transcriptional gene regulation</w:t>
      </w:r>
      <w:r>
        <w:t xml:space="preserve"> </w:t>
      </w:r>
      <w:r>
        <w:t xml:space="preserve">(pp. 108–111).</w:t>
      </w:r>
    </w:p>
    <w:p>
      <w:pPr>
        <w:pStyle w:val="BodyText"/>
      </w:pPr>
      <w:r>
        <w:t xml:space="preserve">Unknown Authors. (2020a).</w:t>
      </w:r>
      <w:r>
        <w:t xml:space="preserve"> </w:t>
      </w:r>
      <w:r>
        <w:rPr>
          <w:i/>
          <w:iCs/>
        </w:rPr>
        <w:t xml:space="preserve">Structural and biochemical investigation of the Pan2-Pan3 deadenylase complex</w:t>
      </w:r>
      <w:r>
        <w:t xml:space="preserve"> </w:t>
      </w:r>
      <w:r>
        <w:t xml:space="preserve">(pp. 30–39).</w:t>
      </w:r>
    </w:p>
    <w:p>
      <w:pPr>
        <w:pStyle w:val="BodyText"/>
      </w:pPr>
      <w:r>
        <w:t xml:space="preserve">Unknown Authors. (2020b).</w:t>
      </w:r>
      <w:r>
        <w:t xml:space="preserve"> </w:t>
      </w:r>
      <w:r>
        <w:rPr>
          <w:i/>
          <w:iCs/>
        </w:rPr>
        <w:t xml:space="preserve">Structural and biochemical investigation of the Pan2-Pan3 deadenylase complex</w:t>
      </w:r>
      <w:r>
        <w:t xml:space="preserve"> </w:t>
      </w:r>
      <w:r>
        <w:t xml:space="preserve">(pp. 121–131).</w:t>
      </w:r>
    </w:p>
    <w:p>
      <w:pPr>
        <w:pStyle w:val="BodyText"/>
      </w:pPr>
      <w:r>
        <w:t xml:space="preserve">Unknown Authors. (2020c).</w:t>
      </w:r>
      <w:r>
        <w:t xml:space="preserve"> </w:t>
      </w:r>
      <w:r>
        <w:rPr>
          <w:i/>
          <w:iCs/>
        </w:rPr>
        <w:t xml:space="preserve">Structural and biochemical investigation of the Pan2-Pan3 deadenylase complex</w:t>
      </w:r>
      <w:r>
        <w:t xml:space="preserve"> </w:t>
      </w:r>
      <w:r>
        <w:t xml:space="preserve">(pp. 185–193).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2025-07-03T22:55:36Z</dcterms:created>
  <dcterms:modified xsi:type="dcterms:W3CDTF">2025-07-03T22:55:36Z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