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Member of the Tyrosine Kinase (TK) group, Eph receptor family, A-class subgroup. EPHA10 clusters with EphA2, EphA7 and EphA8 in phylogenetic trees and carries the same catalytic-site substitutions found in the kinase-dead receptor EphB6 (Aasheim et al., 2005; Truitt &amp; Freywald, 2011). A single confirmed ortholog is mouse Epha10, which shares 88 % nucleotide and 91 % amino-acid identity with the human gene (Aasheim et al., 2005).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[protein]-L-tyrosyl ⇌ ADP + [protein]-L-tyrosyl-phosphate (Tang et al., 2020).</w:t>
      </w:r>
      <w:r>
        <w:br/>
      </w:r>
      <w:r>
        <w:t xml:space="preserve">Note: the canonical Eph tyrosine-phosphotransfer reaction is listed; EPHA10 itself is catalytically inactive because the VAIK, HRD and DFG motifs are replaced by VAVH, HRG and GFG, respectively (Truitt &amp; Freywald, 2011).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Active Eph kinases require Mg²⁺ or Mn²⁺ for phosphotransfer (Tang et al., 2020). No divalent-cation dependence has been demonstrated for EPHA10 owing to its lack of catalytic activity (Truitt &amp; Freywald, 2011).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No intrinsic peptide motif or phosphotyrosine preference has been defined for EPHA10; substrate specificity remains undetermined (Truitt &amp; Freywald, 2011; Shin et al., 2020).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• Modular organisation: extracellular ligand-binding domain, cysteine-rich/Sushi-EGF module, two fibronectin type-III repeats, single transmembrane helix, juxtamembrane (JM) segment, intracellular pseudokinase domain, SAM domain and C-terminal PDZ-binding motif (Toracchio et al., 2024; Unknown authors, 2016).</w:t>
      </w:r>
      <w:r>
        <w:br/>
      </w:r>
      <w:r>
        <w:t xml:space="preserve">• Catalytic-site substitutions (VAVH/HRG/GFG) abolish enzymatic activity (Truitt &amp; Freywald, 2011).</w:t>
      </w:r>
      <w:r>
        <w:br/>
      </w:r>
      <w:r>
        <w:t xml:space="preserve">• Isoforms: full-length receptor, a transmembrane variant lacking the SAM domain, a soluble ectodomain and additional 48, 50 and 86 kDa species detected in breast cells (Aasheim et al., 2005; Unknown authors, 2016).</w:t>
      </w:r>
      <w:r>
        <w:br/>
      </w:r>
      <w:r>
        <w:t xml:space="preserve">• Biophysical properties: intracellular regions are conformationally flexible; the pseudokinase domain can bind ATP and ATP-competitive small molecules despite being catalytically dead (Liang et al., 2021).</w:t>
      </w:r>
      <w:r>
        <w:br/>
      </w:r>
      <w:r>
        <w:t xml:space="preserve">• No high-resolution crystal or cryo-EM structure is available; current insights rely on domain prediction and solution studies (Liang et al., 2021).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Forms heterodimers with catalytically active EphA7, resulting in trans-phosphorylation of EPHA10 (Unknown authors, 2016).</w:t>
      </w:r>
      <w:r>
        <w:br/>
      </w:r>
      <w:r>
        <w:t xml:space="preserve">• Phosphorylated JM tyrosines recruit SH2-domain adaptors Abl, Src and Vav3 (Liang et al., 2021).</w:t>
      </w:r>
      <w:r>
        <w:br/>
      </w:r>
      <w:r>
        <w:t xml:space="preserve">• EPHA10 expression elevates p38 MAPK phosphorylation (Unknown authors, 2016).</w:t>
      </w:r>
      <w:r>
        <w:br/>
      </w:r>
      <w:r>
        <w:t xml:space="preserve">• Alternative splicing that removes the SAM domain modulates oligomerisation potential (Aasheim et al., 2005).</w:t>
      </w:r>
      <w:r>
        <w:br/>
      </w:r>
      <w:r>
        <w:t xml:space="preserve">• Specific regulatory phosphorylation or ubiquitination sites have not been mapped.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Expression: highest in testis; minimal in other normal adult tissues (Aasheim et al., 2005). Over-expressed in breast, pancreatic, prostate and non-small-cell lung cancers (Unknown authors, 2016; Shin et al., 2020; Wang et al., 2024).</w:t>
      </w:r>
      <w:r>
        <w:br/>
      </w:r>
      <w:r>
        <w:t xml:space="preserve">Ligand binding: highest affinity for ephrin-A3, lower affinity for ephrin-A1, A2, A4 and A5 (Aasheim et al., 2005; Truitt &amp; Freywald, 2011).</w:t>
      </w:r>
      <w:r>
        <w:br/>
      </w:r>
      <w:r>
        <w:t xml:space="preserve">Interacting partners: EphA7 (heterodimerisation); SH2 adaptors Abl, Src and Vav3 (Liang et al., 2021; Unknown authors, 2016).</w:t>
      </w:r>
      <w:r>
        <w:br/>
      </w:r>
      <w:r>
        <w:t xml:space="preserve">Signalling outputs: enhanced p38 activation and up-regulation of PD-L1, contributing to tumour immune evasion (Unknown authors, 2016; Shin et al., 2020).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Neutralising monoclonal antibodies and antibody–drug conjugates directed against EPHA10 have shown activity in pre-clinical cancer models (Shin et al., 2020).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• Breast cancer: EPHA10 over-expression correlates with lymph-node metastasis; nuclear localisation in invasive cells is suppressed by EphB6 (Anderton et al., 2021; Unknown authors, 2016).</w:t>
      </w:r>
      <w:r>
        <w:br/>
      </w:r>
      <w:r>
        <w:t xml:space="preserve">• Pancreatic cancer: promotes tumourigenesis in cell and xenograft models (Shin et al., 2020).</w:t>
      </w:r>
      <w:r>
        <w:br/>
      </w:r>
      <w:r>
        <w:t xml:space="preserve">• Non-small-cell lung cancer: high EPHA10 transcript levels associate with poor prognosis and altered immune infiltration (Wang et al., 2024).</w:t>
      </w:r>
      <w:r>
        <w:br/>
      </w:r>
      <w:r>
        <w:t xml:space="preserve">• Isoform-specific modulation of E-cadherin/β-catenin complexes has been reported (Buckens et al., 2020).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Aasheim, H., Patzke, S., Hjorthaug, H., &amp; Finne, E. (2005). Characterization of a novel Eph receptor tyrosine kinase, EPHA10, expressed in testis. Biochimica et Biophysica Acta, 1723(1–3), 1–7. https://doi.org/10.1016/j.bbagen.2005.01.011</w:t>
      </w:r>
    </w:p>
    <w:p>
      <w:pPr>
        <w:pStyle w:val="BodyText"/>
      </w:pPr>
      <w:r>
        <w:t xml:space="preserve">Anderton, M., van der Meulen, E., Blumenthal, M., &amp; Schäfer, G. (2021). The role of the Eph receptor family in tumorigenesis. Cancers, 13(2), 206. https://doi.org/10.3390/cancers13020206</w:t>
      </w:r>
    </w:p>
    <w:p>
      <w:pPr>
        <w:pStyle w:val="BodyText"/>
      </w:pPr>
      <w:r>
        <w:t xml:space="preserve">Buckens, O. J., El Hassouni, B., Giovannetti, E., &amp; Peters, G. J. (2020). The role of Eph receptors in cancer and how to target them: Novel approaches in cancer treatment. Expert Opinion on Investigational Drugs, 29(6), 567–582. https://doi.org/10.1080/13543784.2020.1762566</w:t>
      </w:r>
    </w:p>
    <w:p>
      <w:pPr>
        <w:pStyle w:val="BodyText"/>
      </w:pPr>
      <w:r>
        <w:t xml:space="preserve">Liang, L.-Y., Roy, M., Horne, C. R., Sandow, J. J., Surudoi, M., Dagley, L. F., … Lucet, I. S. (2021). The intracellular domains of the EPHB6 and EPHA10 receptor tyrosine pseudokinases function as dynamic signalling hubs. Biochemical Journal, 478(16), 3351–3371. https://doi.org/10.1042/BCJ20210572</w:t>
      </w:r>
    </w:p>
    <w:p>
      <w:pPr>
        <w:pStyle w:val="BodyText"/>
      </w:pPr>
      <w:r>
        <w:t xml:space="preserve">Shin, W.-S., Park, M. K., Lee, Y. H., Kim, K. W., Lee, H., &amp; Lee, S.-T. (2020). The catalytically defective receptor protein tyrosine kinase EPHA10 promotes tumorigenesis in pancreatic cancer cells. Cancer Science, 111(9), 3292–3302. https://doi.org/10.1111/cas.14568</w:t>
      </w:r>
    </w:p>
    <w:p>
      <w:pPr>
        <w:pStyle w:val="BodyText"/>
      </w:pPr>
      <w:r>
        <w:t xml:space="preserve">Tang, F., Davis, D., Arap, W., Pasqualini, R., &amp; Staquicini, F. (2020). Eph receptors as cancer targets for antibody-based therapy. Advances in Cancer Research, 147, 303–317. https://doi.org/10.1016/bs.acr.2020.04.007</w:t>
      </w:r>
    </w:p>
    <w:p>
      <w:pPr>
        <w:pStyle w:val="BodyText"/>
      </w:pPr>
      <w:r>
        <w:t xml:space="preserve">Toracchio, L., Carrabotta, M., Mancarella, C., Morrione, A., &amp; Scotlandi, K. (2024). EPHA2 in cancer: Molecular complexity and therapeutic opportunities. International Journal of Molecular Sciences, 25(22), 12191. https://doi.org/10.3390/ijms252212191</w:t>
      </w:r>
    </w:p>
    <w:p>
      <w:pPr>
        <w:pStyle w:val="BodyText"/>
      </w:pPr>
      <w:r>
        <w:t xml:space="preserve">Truitt, L., &amp; Freywald, A. (2011). Dancing with the dead: Eph receptors and their kinase-null partners. Biochemistry and Cell Biology, 89(2), 115–129. https://doi.org/10.1139/O10-145</w:t>
      </w:r>
    </w:p>
    <w:p>
      <w:pPr>
        <w:pStyle w:val="BodyText"/>
      </w:pPr>
      <w:r>
        <w:t xml:space="preserve">Unknown authors. (2016). … interact and differentially co-localize in normal breast and breast carcinoma cell lines, and the co-localization pattern is altered in EPHB6-expressing MDA-MB-231 … [Article details not fully available].</w:t>
      </w:r>
    </w:p>
    <w:p>
      <w:pPr>
        <w:pStyle w:val="BodyText"/>
      </w:pPr>
      <w:r>
        <w:t xml:space="preserve">Wang, A., Zhu, J., Li, Y., Jiao, M., Zhang, S., Ding, Z.-L., Huang, J., &amp; Liu, Z. (2024). Comprehensive analysis of EPHA10 as a predictor of clinical prognosis and immune checkpoint therapy efficacy in non-small cell lung cancer. Scientific Reports, 14, 70466. https://doi.org/10.1038/s41598-024-70466-8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2025-07-03T17:55:30Z</dcterms:created>
  <dcterms:modified xsi:type="dcterms:W3CDTF">2025-07-03T17:55:30Z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