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NEK5 is one of eleven human NIMA-related serine/threonine kinases that form a separate evolutionary branch within the human kinome. Orthologues occur in mammals and in the plant Arabidopsis thaliana (van de Kooij et al., 2019; “Stop NEK-ing around”, 2014). Placement of the NEK family within higher-order kinase groups is inconsistent: some authors list NEKs in the Tyrosine Kinase-Like (TKL) group, others in the Ca²⁺/calmodulin-dependent (CAMK) group, and several classify them in the miscellaneous “Other” group (van de Kooij et al., 2019; Oliveira et al., 2020; “Chemical and biological studies…”, 2012; “Characterization of NEK10…”, 2018; Li et al., 2025).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protein-Ser/Thr → ADP + protein-O-phospho-Ser/Thr (Oliveira et al., 2020; “Stop NEK-ing around”, 2014; “Characterization of NEK10…”, 2018; “Protein-protein interactions…”, 2024).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Mg²⁺ is required for catalysis; the ion coordinates the ATP γ-phosphate during phosphotransfer (van de Kooij et al., 2019; Oliveira et al., 2020; “Chemical and biological studies…”, 2012).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NEK5 preferentially phosphorylates threonine. The optimal motif (Group 2, shared with NEK8) is: W at P-4; large hydrophobic residue at P-3; Thr at P0; Met/Phe at P+1; Lys/Arg at P+2; hydrophobic residue at P+3. All NEKs strongly favour a hydrophobic residue at -3 and disfavor Pro at +1 (van de Kooij et al., 2019). In plants, NEK5 has been implicated in β-tubulin phosphorylation (“Stop NEK-ing around”, 2014).</w:t>
      </w:r>
    </w:p>
    <w:p>
      <w:pPr>
        <w:pStyle w:val="BodyText"/>
      </w:pPr>
      <w:r>
        <w:t xml:space="preserve">Structure</w:t>
      </w:r>
      <w:r>
        <w:br/>
      </w:r>
      <w:r>
        <w:t xml:space="preserve">Human NEK5 is a 708-residue protein comprising an N-terminal kinase domain (aa 4–259), a C-terminal coiled-coil (aa 456–498), and a unique DEAD-box motif absent from other human NEKs (“Cell Cycle Studies…”, 2011; “Protein-protein interactions…”, 2024; Li et al., 2025). Lys33 is the conserved ATP-binding residue (“Protein-protein interactions…”, 2024). Like other NEKs, the catalytic HRD motif and an autoinhibitory “tyrosine-down” conformation are inferred, but no crystal or cryo-EM structure has been reported (“Chemical and biological studies…”, 2012; “Investigating the regulation…”, 2023).</w:t>
      </w:r>
    </w:p>
    <w:p>
      <w:pPr>
        <w:pStyle w:val="BodyText"/>
      </w:pPr>
      <w:r>
        <w:t xml:space="preserve">Regulation</w:t>
      </w:r>
      <w:r>
        <w:br/>
      </w:r>
      <w:r>
        <w:t xml:space="preserve">• Autophosphorylation within the activation loop, often promoted by C-terminal coiled-coil–mediated oligomerisation, is a general activation mechanism for NEKs, although specific NEK5 sites remain unidentified (Li et al., 2025; “Investigating the regulation…”, 2023).</w:t>
      </w:r>
      <w:r>
        <w:br/>
      </w:r>
      <w:r>
        <w:t xml:space="preserve">• Caspase-3 cleaves NEK5 between aa 456–498 (within the coiled-coil), an event that enhances caspase-3 activity and promotes myogenesis (“Protein-protein interactions…”, 2024).</w:t>
      </w:r>
    </w:p>
    <w:p>
      <w:pPr>
        <w:pStyle w:val="BodyText"/>
      </w:pPr>
      <w:r>
        <w:t xml:space="preserve">Function</w:t>
      </w:r>
      <w:r>
        <w:br/>
      </w:r>
      <w:r>
        <w:t xml:space="preserve">NEK5 localises to centrosomes and mitochondria and participates in:</w:t>
      </w:r>
      <w:r>
        <w:br/>
      </w:r>
      <w:r>
        <w:t xml:space="preserve">– Centrosome integrity during interphase; centrosome separation and microtubule nucleation in mitosis (Chen et al., 2023; “Protein-protein interactions…”, 2024).</w:t>
      </w:r>
      <w:r>
        <w:br/>
      </w:r>
      <w:r>
        <w:t xml:space="preserve">– Mitochondrial respiration, mitochondrial DNA maintenance, and suppression of mitochondria-mediated apoptosis (Chen et al., 2023; Basei et al., 2024).</w:t>
      </w:r>
      <w:r>
        <w:br/>
      </w:r>
      <w:r>
        <w:t xml:space="preserve">– DNA damage response signalling (Chen et al., 2023).</w:t>
      </w:r>
    </w:p>
    <w:p>
      <w:pPr>
        <w:pStyle w:val="BodyText"/>
      </w:pPr>
      <w:r>
        <w:t xml:space="preserve">Reported interaction partners include VDAC2, MTX2, COX11, LONP1 (mitochondrial); cyclins A2 and B1 (cell-cycle regulators); and topoisomerase IIβ and BCLAF1 (DNA damage response) (Chen et al., 2023; Basei et al., 2024; “Protein-protein interactions…”, 2024; “NEK1—developmental involvement…”, n.d.).</w:t>
      </w:r>
    </w:p>
    <w:p>
      <w:pPr>
        <w:pStyle w:val="BodyText"/>
      </w:pPr>
      <w:r>
        <w:t xml:space="preserve">Inhibitors</w:t>
      </w:r>
      <w:r>
        <w:br/>
      </w:r>
      <w:r>
        <w:t xml:space="preserve">Not reported in the provided sources.</w:t>
      </w:r>
    </w:p>
    <w:p>
      <w:pPr>
        <w:pStyle w:val="BodyText"/>
      </w:pPr>
      <w:r>
        <w:t xml:space="preserve">Other Comments</w:t>
      </w:r>
      <w:r>
        <w:br/>
      </w:r>
      <w:r>
        <w:t xml:space="preserve">NEK5 is one of the least characterised NEKs. Dysregulated expression is linked to breast, prostate, thyroid, lung and pancreatic cancers; elevated levels correlate with tumour growth, invasion and metastasis (Oliveira et al., 2020; Li et al., 2025; Chen et al., 2023). Associations with amyotrophic lateral sclerosis and primary autosomal recessive microcephaly have also been noted (“NEK1—developmental involvement…”, n.d.).</w:t>
      </w:r>
    </w:p>
    <w:p>
      <w:pPr>
        <w:pStyle w:val="Compact"/>
        <w:numPr>
          <w:ilvl w:val="0"/>
          <w:numId w:val="1001"/>
        </w:numPr>
      </w:pPr>
      <w:r>
        <w:t xml:space="preserve">References</w:t>
      </w:r>
      <w:r>
        <w:br/>
      </w:r>
      <w:r>
        <w:t xml:space="preserve">Basei, F. L., Rosa e Silva, I., Firmino Dias, P. R., Ferezin, C. C., Peres de Oliveira, A., Issayama, L. K., Moura, L. A. R., Riback da Silva, F., &amp; Kobarg, J. (2024). The mitochondrial connection: The NEK kinases’ new functional axis in mitochondrial homeostasis. Cells, 13, 473. https://doi.org/10.3390/cells13060473</w:t>
      </w:r>
    </w:p>
    <w:p>
      <w:pPr>
        <w:pStyle w:val="FirstParagraph"/>
      </w:pPr>
      <w:r>
        <w:t xml:space="preserve">Chen, L., Ballout, F., Lu, H., Hu, T., Zhu, S., Chen, Z., &amp; Peng, D. (2023). Differential expression of NEK kinase family members in esophageal adenocarcinoma and Barrett’s esophagus. Cancers, 15, 4821. https://doi.org/10.3390/cancers15194821</w:t>
      </w:r>
    </w:p>
    <w:p>
      <w:pPr>
        <w:pStyle w:val="BodyText"/>
      </w:pPr>
      <w:r>
        <w:t xml:space="preserve">“Characterization of NEK10 tyrosine kinase activity in the cellular response to DNA damage.” (2018).</w:t>
      </w:r>
    </w:p>
    <w:p>
      <w:pPr>
        <w:pStyle w:val="BodyText"/>
      </w:pPr>
      <w:r>
        <w:t xml:space="preserve">“Chemical and biological studies with NEK2 kinase inhibitors.” (2012).</w:t>
      </w:r>
    </w:p>
    <w:p>
      <w:pPr>
        <w:pStyle w:val="BodyText"/>
      </w:pPr>
      <w:r>
        <w:t xml:space="preserve">“Cell cycle studies on the human NEK3, NEK5 and NEK11 protein kinases.” (2011).</w:t>
      </w:r>
    </w:p>
    <w:p>
      <w:pPr>
        <w:pStyle w:val="BodyText"/>
      </w:pPr>
      <w:r>
        <w:t xml:space="preserve">“Investigating the regulation of EML proteins through their N-terminal domain.” (2023).</w:t>
      </w:r>
    </w:p>
    <w:p>
      <w:pPr>
        <w:pStyle w:val="BodyText"/>
      </w:pPr>
      <w:r>
        <w:t xml:space="preserve">Li, H., Li, J., Zhang, Y., Cao, R., Guo, C., &amp; Jiao, M. (2025). The NIMA-related kinase family and cancer. Frontiers in Oncology. https://doi.org/10.3389/fonc.2025.1556917</w:t>
      </w:r>
    </w:p>
    <w:p>
      <w:pPr>
        <w:pStyle w:val="BodyText"/>
      </w:pPr>
      <w:r>
        <w:t xml:space="preserve">Oliveira, A. P. de, Issayama, L. K., Pavan, I. C. B., Riback Silva, F., Melo-Hanchuk, T. D., Simabuco, F. M., &amp; Kobarg, J. (2020). Checking NEKs: Overcoming a bottleneck in human diseases. Molecules, 25, 1778. https://doi.org/10.3390/molecules25081778</w:t>
      </w:r>
    </w:p>
    <w:p>
      <w:pPr>
        <w:pStyle w:val="BodyText"/>
      </w:pPr>
      <w:r>
        <w:t xml:space="preserve">“Protein-protein interactions in cell cycle proteins: An in silico investigation of two important players.” (2024).</w:t>
      </w:r>
    </w:p>
    <w:p>
      <w:pPr>
        <w:pStyle w:val="BodyText"/>
      </w:pPr>
      <w:r>
        <w:t xml:space="preserve">van de Kooij, B., Creixell, P., van Vlimmeren, A., Joughin, B. A., Miller, C. J., Haider, N., Linding, R., Stambolic, V., Turk, B. E., &amp; Yaffe, M. B. (2019). Comprehensive substrate specificity profiling of the human NEK kinome reveals unexpected signaling outputs. eLife. https://doi.org/10.1101/515221</w:t>
      </w:r>
    </w:p>
    <w:p>
      <w:pPr>
        <w:pStyle w:val="BodyText"/>
      </w:pPr>
      <w:r>
        <w:t xml:space="preserve">“Stop NEK-ing around: How interactomics contributes to functionally characterize NEK family kinases.” (2014).</w:t>
      </w:r>
    </w:p>
    <w:p>
      <w:pPr>
        <w:pStyle w:val="BodyText"/>
      </w:pPr>
      <w:r>
        <w:t xml:space="preserve">“NEK1—Developmental involvement in DNA repair and role as a target in radiotherapy.” (n.d.).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2025-07-03T23:29:53Z</dcterms:created>
  <dcterms:modified xsi:type="dcterms:W3CDTF">2025-07-03T23:29:53Z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