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DSTYK is a single-copy kinase conserved in vertebrates (Homo sapiens, Mus musculus, Rattus norvegicus, Gallus gallus, Danio rerio) (Peng et al., 2006; Unknown Authors, 2014; Sun et al., 2020). Sequence homology places it in the receptor-interacting protein kinase (RIPK) family within the tyrosine-kinase-like (TKL) branch of the human kinome (Dong et al., 2025).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L-Ser/Thr/Tyr-[protein] ⇌ ADP + H⁺ + O-phospho-L-Ser/Thr/Tyr-[protein] (Peng et al., 2006).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 metal ion requirement has been reported (Dong et al.,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Site-specific phosphorylation of STING at Ser366 (Dong et al., 2025).</w:t>
      </w:r>
      <w:r>
        <w:br/>
      </w:r>
      <w:r>
        <w:t xml:space="preserve">• Phosphorylation of β-catenin at unidentified residues in vitro (Zhong et al., 2021).</w:t>
      </w:r>
      <w:r>
        <w:br/>
      </w:r>
      <w:r>
        <w:t xml:space="preserve">A global consensus motif has not been defined.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contains two cysteine-rich N-terminal non-catalytic regions (NCR1, NCR2) followed by a divergent eukaryotic protein kinase domain spanning residues 652–906 (Peng et al., 2006; Sun et al., 2020). No experimental or predicted 3-D structures are currently available (Dong et al., 2025). Canonical VAIK, HRD and DFG motifs are inferred by homology. Kinase-dead mutants K681A and D777A retain STING binding and endosomal localisation but lack catalytic activity (Dong et al., 2025).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of DSTYK by TBK1 enhances its ability to phosphorylate STING at late endosomes (Dong et al., 2025).</w:t>
      </w:r>
      <w:r>
        <w:br/>
      </w:r>
      <w:r>
        <w:t xml:space="preserve">• Electrophoretic mobility shifts indicate additional, unmapped post-translational modifications (Unknown Authors, 2014).</w:t>
      </w:r>
      <w:r>
        <w:br/>
      </w:r>
      <w:r>
        <w:t xml:space="preserve">• Constitutively localises to Rab7/LAMP1-positive late endosomes; this localisation is independent of catalytic activity (Dong et al., 2025).</w:t>
      </w:r>
      <w:r>
        <w:br/>
      </w:r>
      <w:r>
        <w:t xml:space="preserve">• Binding to STING is maintained in kinase-inactive mutants, separating docking from catalysis (Dong et al., 2025).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expressed in innate immune cells (NK cells, dendritic cells, macrophages, neutrophils) and in several human cell lines including HEK293, HeLa, THP-1, A549, HT1080 and Hep-G2 (Dong et al., 2025).</w:t>
      </w:r>
    </w:p>
    <w:p>
      <w:pPr>
        <w:pStyle w:val="BodyText"/>
      </w:pPr>
      <w:r>
        <w:t xml:space="preserve">Innate immunity: At late endosomes DSTYK phosphorylates STING-Ser366, promoting downstream activation of TBK1, IRF3 and NF-κB, thereby driving IFNB, ISG and pro-inflammatory cytokine expression during DNA-virus infection (Dong et al., 2025).</w:t>
      </w:r>
    </w:p>
    <w:p>
      <w:pPr>
        <w:pStyle w:val="BodyText"/>
      </w:pPr>
      <w:r>
        <w:t xml:space="preserve">Cell death: Over-expression triggers both caspase-dependent and caspase-independent death pathways (Dong et al., 2025).</w:t>
      </w:r>
    </w:p>
    <w:p>
      <w:pPr>
        <w:pStyle w:val="BodyText"/>
      </w:pPr>
      <w:r>
        <w:t xml:space="preserve">Wnt signalling / metabolism: Phosphorylates β-catenin, reduces its accumulation and represses Axin2, c-Myc, cyclin D1 and LDHA, limiting lung adenocarcinoma growth and stemness (Zhong et al., 2021).</w:t>
      </w:r>
    </w:p>
    <w:p>
      <w:pPr>
        <w:pStyle w:val="BodyText"/>
      </w:pPr>
      <w:r>
        <w:t xml:space="preserve">ERK pathway: Somatic Met296Ile mutation increases ERK1/2 activity and tumour invasiveness in solitary fibrous tumour/hemangiopericytoma (Tang et al., 2019).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associations:</w:t>
      </w:r>
      <w:r>
        <w:br/>
      </w:r>
      <w:r>
        <w:t xml:space="preserve">• Heterozygous splice-site or missense variants cause autosomal dominant congenital anomalies of the kidney and urinary tract (Sanna-Cherchi et al., 2013).</w:t>
      </w:r>
      <w:r>
        <w:br/>
      </w:r>
      <w:r>
        <w:t xml:space="preserve">• Missense variant Leu91Met linked to hereditary spastic paraparesis with lower urinary-tract dysfunction (Vidic et al., 2021).</w:t>
      </w:r>
      <w:r>
        <w:br/>
      </w:r>
      <w:r>
        <w:t xml:space="preserve">• Loss-of-function alleles in zebrafish produce scoliosis-like vertebral malformations via mTORC1/TFEB dysregulation (Sun et al., 2020).</w:t>
      </w:r>
      <w:r>
        <w:br/>
      </w:r>
      <w:r>
        <w:t xml:space="preserve">• Kinase-domain ablation in mice impairs spatial learning and memory without major neurodevelopmental defects (Unknown Authors, 2014).</w:t>
      </w:r>
      <w:r>
        <w:br/>
      </w:r>
      <w:r>
        <w:t xml:space="preserve">• Cancer relevance: Met296Ile drives intraspinal dissemination of solitary fibrous tumour/hemangiopericytoma (Tang et al., 2019); reduced DSTYK expression suppresses lung adenocarcinoma via β-catenin regulation (Zhong et al., 2021).</w:t>
      </w:r>
    </w:p>
    <w:p>
      <w:pPr>
        <w:pStyle w:val="BodyText"/>
      </w:pPr>
      <w:r>
        <w:t xml:space="preserve">No specific small-molecule or biologic inhibitors have been reported (Dong et al., 2025).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Dong, H., Zhang, H., Song, P., Hu, Y., &amp; Chen, D. (2025). Dstyk phosphorylates STING at late endosomes to promote STING signaling. EMBO Reports, 26, 1620–1646. https://doi.org/10.1038/s44319-025-00394-9</w:t>
      </w:r>
    </w:p>
    <w:p>
      <w:pPr>
        <w:pStyle w:val="BodyText"/>
      </w:pPr>
      <w:r>
        <w:t xml:space="preserve">Peng, J., Dong, W., Chen, Y., Mo, R., Cheng, J.-F., Hui, C., Mohandas, N., &amp; Huang, C.-H. (2006). Dusty protein kinases: primary structure, gene evolution, tissue specific expression and unique features of the catalytic domain. Biochimica et Biophysica Acta, 1759(11-12), 562–572. https://doi.org/10.1016/j.bbaexp.2006.10.004</w:t>
      </w:r>
    </w:p>
    <w:p>
      <w:pPr>
        <w:pStyle w:val="BodyText"/>
      </w:pPr>
      <w:r>
        <w:t xml:space="preserve">Sanna-Cherchi, S., Sampogna, R., Papeta, N., Burgess, K. E., Nees, S., Perry, B. J., … Gharavi, A. (2013). Mutations in DSTYK and dominant urinary tract malformations. New England Journal of Medicine, 369, 621–629. https://doi.org/10.1056/NEJMoa1214479</w:t>
      </w:r>
    </w:p>
    <w:p>
      <w:pPr>
        <w:pStyle w:val="BodyText"/>
      </w:pPr>
      <w:r>
        <w:t xml:space="preserve">Sun, X., Zhou, Y., Zhang, R., Wang, Z., Xu, M., Zhang, D., … Chen, L. (2020). Dstyk mutation leads to congenital scoliosis-like vertebral malformations in zebrafish via dysregulated mTORC1/TFEB pathway. Nature Communications. https://doi.org/10.1038/s41467-019-14169-z</w:t>
      </w:r>
    </w:p>
    <w:p>
      <w:pPr>
        <w:pStyle w:val="BodyText"/>
      </w:pPr>
      <w:r>
        <w:t xml:space="preserve">Tang, G., Yang, Y., Shang, L., Jun, F., &amp; Liu, Q. (2019). A DSTYK mutation activates ERK1/2 signaling to promote intraspinal dissemination in a case of solitary fibrous tumor/hemangiopericytoma. Laboratory Investigation, 1–14. https://doi.org/10.1038/s41374-019-0274-1</w:t>
      </w:r>
    </w:p>
    <w:p>
      <w:pPr>
        <w:pStyle w:val="BodyText"/>
      </w:pPr>
      <w:r>
        <w:t xml:space="preserve">Vidic, C., Zaniew, M., Jurga, S., Thiele, H., Reutter, H., &amp; Hilger, A. C. (2021). Exome sequencing implicates a novel heterozygous missense variant in DSTYK in autosomal dominant lower urinary tract dysfunction and mild hereditary spastic paraparesis. Molecular and Cellular Pediatrics. https://doi.org/10.1186/s40348-021-00122-y</w:t>
      </w:r>
    </w:p>
    <w:p>
      <w:pPr>
        <w:pStyle w:val="BodyText"/>
      </w:pPr>
      <w:r>
        <w:t xml:space="preserve">Zhong, C., Chen, M., Chen, Y., Yao, F., &amp; Fang, W. (2021). Loss of DSTYK activates Wnt/β-catenin signaling and glycolysis in lung adenocarcinoma. Cell Death &amp; Disease. https://doi.org/10.1038/s41419-021-04385-1</w:t>
      </w:r>
    </w:p>
    <w:p>
      <w:pPr>
        <w:pStyle w:val="BodyText"/>
      </w:pPr>
      <w:r>
        <w:t xml:space="preserve">Unknown Authors. (2014). DSTYK kinase domain ablation impaired the mice capabilities of learning and memory in water maze test. [Study].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2025-07-03T20:37:32Z</dcterms:created>
  <dcterms:modified xsi:type="dcterms:W3CDTF">2025-07-03T20:37:32Z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