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roposed-ecsub-subclass"/>
    <w:p>
      <w:pPr>
        <w:pStyle w:val="Heading2"/>
      </w:pPr>
      <w:r>
        <w:t xml:space="preserve">Proposed EC/sub-subclass:</w:t>
      </w:r>
    </w:p>
    <w:p>
      <w:pPr>
        <w:pStyle w:val="FirstParagraph"/>
      </w:pPr>
      <w:r>
        <w:t xml:space="preserve">Not yet assigned (flavin-dependent acyl-CoA dehydrogenase)</w:t>
      </w:r>
    </w:p>
    <w:bookmarkEnd w:id="9"/>
    <w:bookmarkStart w:id="10" w:name="accepted-name"/>
    <w:p>
      <w:pPr>
        <w:pStyle w:val="Heading2"/>
      </w:pPr>
      <w:r>
        <w:t xml:space="preserve">Accepted name:</w:t>
      </w:r>
    </w:p>
    <w:p>
      <w:pPr>
        <w:pStyle w:val="FirstParagraph"/>
      </w:pPr>
      <w:r>
        <w:t xml:space="preserve">Acyl-CoA dehydrogenase 11 (ACAD11)</w:t>
      </w:r>
    </w:p>
    <w:bookmarkEnd w:id="10"/>
    <w:bookmarkStart w:id="11" w:name="synonyms"/>
    <w:p>
      <w:pPr>
        <w:pStyle w:val="Heading2"/>
      </w:pPr>
      <w:r>
        <w:t xml:space="preserve">Synonyms:</w:t>
      </w:r>
    </w:p>
    <w:p>
      <w:pPr>
        <w:pStyle w:val="FirstParagraph"/>
      </w:pPr>
      <w:r>
        <w:t xml:space="preserve">ACAD11 gene product; long-chain acyl-CoA dehydrogenase-11 (no additional synonyms reported).</w:t>
      </w:r>
    </w:p>
    <w:bookmarkEnd w:id="11"/>
    <w:bookmarkStart w:id="12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Orthologues occur in human, mouse, rat, bovine, dog, zebrafish and Caenorhabditis elegans, indicating broad conservation across vertebrates and selected invertebrates (He et al., 2011).</w:t>
      </w:r>
      <w:r>
        <w:br/>
      </w:r>
      <w:r>
        <w:t xml:space="preserve">• A eukaryote-specific duplication produced the paralogous pair ACAD10/ACAD11 after divergence from other fatty-acid-oxidising ACADs (Swigoňová et al., 2009).</w:t>
      </w:r>
      <w:r>
        <w:br/>
      </w:r>
      <w:r>
        <w:t xml:space="preserve">• Forms a distinct long-chain ACAD clade, separate from VLCAD, ACAD9 and LCAD, based on sequence divergence within the active-site channel (He et al., 2011).</w:t>
      </w:r>
    </w:p>
    <w:bookmarkEnd w:id="12"/>
    <w:bookmarkStart w:id="13" w:name="reaction-catalysed"/>
    <w:p>
      <w:pPr>
        <w:pStyle w:val="Heading2"/>
      </w:pPr>
      <w:r>
        <w:t xml:space="preserve">Reaction catalysed</w:t>
      </w:r>
    </w:p>
    <w:p>
      <w:pPr>
        <w:pStyle w:val="FirstParagraph"/>
      </w:pPr>
      <w:r>
        <w:t xml:space="preserve">Very-long-chain acyl-CoA + FAD ⇌ trans-2-enoyl-CoA + FADH₂ (electrons subsequently transferred to electron-transfer flavoprotein) (He et al., 2011).</w:t>
      </w:r>
    </w:p>
    <w:bookmarkEnd w:id="13"/>
    <w:bookmarkStart w:id="14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One tightly bound FAD per catalytic subunit; no requirement for divalent metal ions has been reported (He et al., 2011).</w:t>
      </w:r>
    </w:p>
    <w:bookmarkEnd w:id="14"/>
    <w:bookmarkStart w:id="15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Highest activity with saturated docosanoyl-CoA (C22).</w:t>
      </w:r>
      <w:r>
        <w:br/>
      </w:r>
      <w:r>
        <w:t xml:space="preserve">• Relative rates: C20 ≈ 30 %, C23 ≈ 63 %, C24 ≈ 15 %, C26 ≈ 15 % of the C22 rate (He et al., 2011).</w:t>
      </w:r>
      <w:r>
        <w:br/>
      </w:r>
      <w:r>
        <w:t xml:space="preserve">• In human liver mitochondrial membranes, the C22/C20 activity ratio exceeds 3, confirming preference for very-long-chain substrates (He et al., 2011).</w:t>
      </w:r>
      <w:r>
        <w:br/>
      </w:r>
      <w:r>
        <w:t xml:space="preserve">• Consensus peptide motifs are not applicable because the enzyme acts on CoA thioesters, not polypeptides.</w:t>
      </w:r>
    </w:p>
    <w:bookmarkEnd w:id="15"/>
    <w:bookmarkStart w:id="16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organisation: N-terminal mitochondrial targeting sequence → predicted aminoglycoside-phosphotransferase–like region → C-terminal canonical ACAD catalytic domain comprising N-, middle and C-sub-domains (He et al., 2011).</w:t>
      </w:r>
      <w:r>
        <w:br/>
      </w:r>
      <w:r>
        <w:t xml:space="preserve">• 3D framework: homology models (templates PDB 1JQI, 1SIQ) and an AlphaFold model (UniProt Q709F0) show the conserved ACAD α/β fold with FAD extended along the central β-sheet (He et al., 2011; Narayanan et al., 2024).</w:t>
      </w:r>
      <w:r>
        <w:br/>
      </w:r>
      <w:r>
        <w:t xml:space="preserve">• Catalytic features: canonical glutamate replaced by Asp753; Arg512 and His509 protrude into the substrate channel (He et al., 2011).</w:t>
      </w:r>
      <w:r>
        <w:br/>
      </w:r>
      <w:r>
        <w:t xml:space="preserve">• Quaternary state: mature 52 kDa polypeptide forms stable multimers; exact stoichiometry not determined (He et al., 2011).</w:t>
      </w:r>
    </w:p>
    <w:bookmarkEnd w:id="16"/>
    <w:bookmarkStart w:id="17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Mitochondrial processing peptidase cleaves the N-terminal leader, generating the mature enzyme that associates with the inner-membrane fraction (He et al., 2011).</w:t>
      </w:r>
      <w:r>
        <w:br/>
      </w:r>
      <w:r>
        <w:t xml:space="preserve">• Extensive alternative splicing creates isoforms that vary at the N- or C-terminus, altering targeting sequences or catalytic regions and hence subcellular localisation (He et al., 2011).</w:t>
      </w:r>
      <w:r>
        <w:br/>
      </w:r>
      <w:r>
        <w:t xml:space="preserve">• Large-scale proteomics has not identified reproducible phosphorylation, acetylation or ubiquitination sites; no allosteric or small-molecule regulation reported (He et al., 2011; Narayanan et al., 2024).</w:t>
      </w:r>
    </w:p>
    <w:bookmarkEnd w:id="17"/>
    <w:bookmarkStart w:id="18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Expression: highest mRNA and protein levels in adult human brain, especially cerebellar white-matter oligodendrocytes; appreciable expression in kidney, liver and heart (He et al., 2011).</w:t>
      </w:r>
      <w:r>
        <w:br/>
      </w:r>
      <w:r>
        <w:t xml:space="preserve">• Subcellular localisation: enriched in mitochondrial membrane fractions in brain and kidney; co-localises with mitochondria in neuroblastoma cells (He et al., 2011).</w:t>
      </w:r>
      <w:r>
        <w:br/>
      </w:r>
      <w:r>
        <w:t xml:space="preserve">• Biological role: catalyses the first dehydrogenation step of mitochondrial β-oxidation for very-long-chain fatty acyl-CoAs, complementing VLCAD and ACAD9 activities and supporting lipid metabolism in the central nervous system (He et al., 2011).</w:t>
      </w:r>
      <w:r>
        <w:br/>
      </w:r>
      <w:r>
        <w:t xml:space="preserve">• Electron acceptor: reduced FAD donates electrons to electron-transfer flavoprotein (He et al., 2011).</w:t>
      </w:r>
      <w:r>
        <w:br/>
      </w:r>
      <w:r>
        <w:t xml:space="preserve">• Additional interactors upstream or downstream of ETF have not been defined.</w:t>
      </w:r>
    </w:p>
    <w:bookmarkEnd w:id="18"/>
    <w:bookmarkStart w:id="19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inhibitors reported.</w:t>
      </w:r>
    </w:p>
    <w:bookmarkEnd w:id="19"/>
    <w:bookmarkStart w:id="20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No pathogenic mutations or disease associations have been described to date (He et al., 2011).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He, M., Pei, Z., Mohsen, A.-W., Watkins, P., Murdoch, G., Van Veldhoven, P. P., Ensenauer, R., &amp; Vockley, J. (2011). Identification and characterization of new long chain acyl-coa dehydrogenases. Molecular Genetics and Metabolism, 102, 418–429. https://doi.org/10.1016/j.ymgme.2010.12.005</w:t>
      </w:r>
    </w:p>
    <w:p>
      <w:pPr>
        <w:pStyle w:val="BodyText"/>
      </w:pPr>
      <w:r>
        <w:t xml:space="preserve">Narayanan, B., Xia, C., McAndrew, R., Shen, A. L., &amp; Kim, J.-J. P. (2024). Structural basis for expanded substrate specificities of human long chain acyl-coa dehydrogenase and related acyl-coa dehydrogenases. Scientific Reports. https://doi.org/10.1038/s41598-024-63027-6</w:t>
      </w:r>
    </w:p>
    <w:p>
      <w:pPr>
        <w:pStyle w:val="BodyText"/>
      </w:pPr>
      <w:r>
        <w:t xml:space="preserve">Swigoňová, Z., Mohsen, A.-W., &amp; Vockley, J. (2009). Acyl-coa dehydrogenases: dynamic history of protein family evolution. Journal of Molecular Evolution, 69, 176–193. https://doi.org/10.1007/s00239-009-9263-0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2025-07-03T23:16:37Z</dcterms:created>
  <dcterms:modified xsi:type="dcterms:W3CDTF">2025-07-03T23:16:37Z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