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Mammals encode two paralogues, IRE1α (ERN1) and IRE1β (ERN2), that arose by gene duplication and share ~39 % overall sequence identity (Goupil et al., 2024). Orthologues include IRE1/IRE2 in Saccharomyces cerevisiae and the murine Irelpp gene (Goupil et al., 2024; Unknown authors, 2018). The kinase and RNase domains are strongly conserved across species, whereas the luminal stress-sensing domain is divergent (Goupil et al., 2024; Unknown authors, 2018). Within the human kinome, ERN2 is placed in the “Other” group (Zhou et al.,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[a protein] ⇌ ADP + [a phosphoprotein] (Zhou et al., 2021).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ATP and a divalent cation, typically Mg²⁺ or Mn²⁺ (Prasad &amp; Greber, 2021; Zhou et al., 2021; Riaz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The RNase domain selectively cleaves 28S rRNA, thereby repressing translation (Goupil et al., 2024). Consensus motifs for the serine/threonine kinase activity have not been defined (Johnson et al., 2023 priority cited by Goupil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ERN2 is a type-I ER transmembrane protein comprising an N-terminal luminal domain (NLD), a single transmembrane segment, and a C-terminal cytosolic region that contains adjacent serine/threonine kinase and endoribonuclease domains (Prasad &amp; Greber, 2021; Zhou et al., 2021). The NLD adopts a triangular β-sheet fold that promotes dimerization (Zhou et al., 2021). Amino-acid identity with human IRE1α is ~80 % in the kinase domain and ~61 % in the RNase domain (Riaz et al., 2020). Several non-conserved residues in the kinase active site underpin reduced catalytic efficiency (Goupil et al., 2024). Structural information on the activation loop and C-helix remains incomplete (Goupil et al.,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Like other IRE1 proteins, activation entails oligomerization and trans-autophosphorylation (Prasad &amp; Greber, 2021; Goupil et al., 2024). ERN2 is deficient in both phosphorylation and higher-order oligomer formation relative to IRE1α (Grey et al., 2020). It hetero-oligomerises with IRE1α and acts as a dominant-negative inhibitor of the latter’s RNase activity; this suppression is structural and does not depend on ERN2’s own kinase or RNase functions (Goupil et al., 2024; Grey et al., 2020). Specific post-translational modification sites on ERN2 have not been mapped (Goupil et al.,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ERN2 is highly expressed in the mucosal epithelia of the gastrointestinal and respiratory tracts (Goupil et al., 2024; Prasad &amp; Greber, 2021). By cleaving 28S rRNA, it provokes translational inhibition during ER stress (Goupil et al., 2024). Through hetero-association with IRE1α, ERN2 down-tunes canonical IRE1α signaling, thereby modulating the unfolded protein response (Goupil et al., 2024; Grey et al., 2020). Direct physical interaction with IRE1α has been demonstrated (Grey et al., 2020).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IRE1 family members are linked to diverse pathologies, including diabetes, cancer and neurodegeneration, although ERN2-specific disease roles are not yet defined (Riaz et al., 2020). Unlike IRE1α knockout mice, ERN2 null mice are viable (Zhou et al., 2021). A kinase-dead IRE1α mutant phenocopies ERN2, showing impaired autophosphorylation and oligomerization (Grey et al., 2020).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Goupil, S. L., Laprade, H., Aubry, M., &amp; Chevet, E. (2024). Exploring the IRE1 interactome: From canonical signaling functions to unexpected roles.</w:t>
      </w:r>
      <w:r>
        <w:t xml:space="preserve"> </w:t>
      </w:r>
      <w:r>
        <w:rPr>
          <w:i/>
          <w:iCs/>
        </w:rPr>
        <w:t xml:space="preserve">The Journal of Biological Chemistry</w:t>
      </w:r>
      <w:r>
        <w:t xml:space="preserve">. https://doi.org/10.1016/j.jbc.2024.107169</w:t>
      </w:r>
    </w:p>
    <w:p>
      <w:pPr>
        <w:pStyle w:val="BodyText"/>
      </w:pPr>
      <w:r>
        <w:t xml:space="preserve">Grey, M. J., Cloots, E., Simpson, M. S., LeDuc, N., Serebrenik, Y. V., De Luca, H., … Lencer, W. (2020). IRE1β negatively regulates IRE1α signaling in response to endoplasmic reticulum stress.</w:t>
      </w:r>
      <w:r>
        <w:t xml:space="preserve"> </w:t>
      </w:r>
      <w:r>
        <w:rPr>
          <w:i/>
          <w:iCs/>
        </w:rPr>
        <w:t xml:space="preserve">The Journal of Cell Biology</w:t>
      </w:r>
      <w:r>
        <w:t xml:space="preserve">. https://doi.org/10.1101/586305</w:t>
      </w:r>
    </w:p>
    <w:p>
      <w:pPr>
        <w:pStyle w:val="BodyText"/>
      </w:pPr>
      <w:r>
        <w:t xml:space="preserve">Prasad, V., &amp; Greber, U. (2021). The endoplasmic reticulum unfolded protein response – homeostasis, cell death and evolution in virus infections.</w:t>
      </w:r>
      <w:r>
        <w:t xml:space="preserve"> </w:t>
      </w:r>
      <w:r>
        <w:rPr>
          <w:i/>
          <w:iCs/>
        </w:rPr>
        <w:t xml:space="preserve">FEMS Microbiology Reviews</w:t>
      </w:r>
      <w:r>
        <w:t xml:space="preserve">, 45(fuab016). https://doi.org/10.1093/femsre/fuab016</w:t>
      </w:r>
    </w:p>
    <w:p>
      <w:pPr>
        <w:pStyle w:val="BodyText"/>
      </w:pPr>
      <w:r>
        <w:t xml:space="preserve">Riaz, T. A., Junjappa, R., Handigund, M., Ferdous, J., Kim, H.-R., &amp; Chae, H. (2020). Role of endoplasmic reticulum stress sensor IRE1α in cellular physiology, calcium, ROS signaling, and metaflammation.</w:t>
      </w:r>
      <w:r>
        <w:t xml:space="preserve"> </w:t>
      </w:r>
      <w:r>
        <w:rPr>
          <w:i/>
          <w:iCs/>
        </w:rPr>
        <w:t xml:space="preserve">Cells</w:t>
      </w:r>
      <w:r>
        <w:t xml:space="preserve">, 9(5), 1160. https://doi.org/10.3390/cells9051160</w:t>
      </w:r>
    </w:p>
    <w:p>
      <w:pPr>
        <w:pStyle w:val="BodyText"/>
      </w:pPr>
      <w:r>
        <w:t xml:space="preserve">Unknown authors. (2018).</w:t>
      </w:r>
      <w:r>
        <w:t xml:space="preserve"> </w:t>
      </w:r>
      <w:r>
        <w:rPr>
          <w:i/>
          <w:iCs/>
        </w:rPr>
        <w:t xml:space="preserve">The cellular response to protein misfolding in the endoplasmic reticulum</w:t>
      </w:r>
      <w:r>
        <w:t xml:space="preserve"> </w:t>
      </w:r>
      <w:r>
        <w:t xml:space="preserve">(pp. 2–4).</w:t>
      </w:r>
    </w:p>
    <w:p>
      <w:pPr>
        <w:pStyle w:val="BodyText"/>
      </w:pPr>
      <w:r>
        <w:t xml:space="preserve">Zhou, Z., Wang, Q., &amp; Michalak, M. (2021). Inositol requiring enzyme (IRE), a multiplayer in sensing endoplasmic reticulum stress.</w:t>
      </w:r>
      <w:r>
        <w:t xml:space="preserve"> </w:t>
      </w:r>
      <w:r>
        <w:rPr>
          <w:i/>
          <w:iCs/>
        </w:rPr>
        <w:t xml:space="preserve">Animal Cells and Systems</w:t>
      </w:r>
      <w:r>
        <w:t xml:space="preserve">, 25, 347–357. https://doi.org/10.1080/19768354.2021.2020901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2025-07-03T18:18:12Z</dcterms:created>
  <dcterms:modified xsi:type="dcterms:W3CDTF">2025-07-03T18:18:12Z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