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ADCK2 (UniProt Q7Z695) belongs to the AarF domain-containing kinase (ADCK/UbiB) family, an ancestral branch of the protein-kinase superfamily that is classified within the atypical kinase (aPK) group (Jacquet &amp; Zhao, 2025, pp. 15–17; Manning et al., 2002, pp. 1912-1914). Five vertebrate paralogues (ADCK1-5) form two subgroups; ADCK2 clusters with ADCK1 and ADCK5 in the first subgroup (Unknown Authors, 2017, pp. 49-51). Orthologues are evolutionarily conserved and include yeast Coq8 and YPL109c, bacterial UbiB proteins, and Drosophila ADCK1 (Jacquet &amp; Zhao, 2025, pp. 15–17; Vazquez-Fonseca et al., 2019, pp. 1374-1376). Human paralogues comprise ADCK1, ADCK3/COQ8A and ADCK4 (Jacquet &amp; Zhao, 2025, pp. 15–17).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The ATP-dependent phosphorylation reaction catalyzed by ADCK2 has not yet been defined; no specific protein or lipid substrate reaction has been reported (Jacquet &amp; Zhao, 2025, pp. 15–17). Members of the ADCK family can phosphorylate lipids such as phosphatidylinositol and phosphoinositides (Unknown Authors, 2017, pp. 49-51).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coordinated by two conserved Asp residues within kinase motifs VIB and VII (Unknown Authors, 2017, pp. 49-51).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substrate-recognition motif or preferred residue pattern has been identified for ADCK2 (Jacquet &amp; Zhao, 2025, pp. 15–17).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ADCK2 gene maps to chromosome 7q34, spans ~22 kb and comprises eight exons (Jacquet &amp; Zhao, 2025, pp. 5-8). A solved 3-D structure is not available (Jacquet &amp; Zhao, 2025, pp. 3-9). The protein possesses:</w:t>
      </w:r>
      <w:r>
        <w:br/>
      </w:r>
      <w:r>
        <w:t xml:space="preserve">• an N-terminal KxGQ domain with a strictly conserved Lys implicated in coenzyme Q (CoQ) metabolism (Unknown Authors, 2017, pp. 49-51)</w:t>
      </w:r>
      <w:r>
        <w:br/>
      </w:r>
      <w:r>
        <w:t xml:space="preserve">• four “universal core” protein-kinase motifs (I, II, VIB, VII) plus motif III required for ATP binding and phosphotransfer (Unknown Authors, 2017, pp. 49-51).</w:t>
      </w:r>
      <w:r>
        <w:br/>
      </w:r>
      <w:r>
        <w:t xml:space="preserve">Truncating mutations abolish the ability to rescue CoQ biosynthesis, underscoring the functional importance of these structural elements (Vazquez-Fonseca et al., 2019, pp. 1374-1376).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regulation of ADCK2 has not been reported; no modification sites or responsible enzymes are described (Jacquet &amp; Zhao, 2025, pp. 3-9; Vazquez-Fonseca et al., 2019, pp. 1374-1376).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ADCK2 localises to the mitochondrial matrix and is also detected at the inner mitochondrial membrane; it is absent from endoplasmic-reticulum and cytosolic fractions (Jacquet &amp; Zhao, 2025, pp. 5-8; Vazquez-Fonseca et al., 2019, pp. 1374-1376). Reported roles include:</w:t>
      </w:r>
      <w:r>
        <w:br/>
      </w:r>
      <w:r>
        <w:t xml:space="preserve">• Coenzyme Q biosynthesis and mitochondrial oxidative phosphorylation (Jacquet &amp; Zhao, 2025, pp. 3-8)</w:t>
      </w:r>
      <w:r>
        <w:br/>
      </w:r>
      <w:r>
        <w:t xml:space="preserve">• mitochondrial lipid metabolism and fatty-acid β-oxidation (Jacquet &amp; Zhao, 2025, pp. 6-8; Vazquez-Fonseca et al., 2019, pp. 1374-1376)</w:t>
      </w:r>
      <w:r>
        <w:br/>
      </w:r>
      <w:r>
        <w:t xml:space="preserve">• interaction, direct or indirect, with CoQ pathway enzymes COQ2 and COQ3 (Jacquet &amp; Zhao, 2025, pp. 3-5).</w:t>
      </w:r>
    </w:p>
    <w:p>
      <w:pPr>
        <w:pStyle w:val="BodyText"/>
      </w:pPr>
      <w:r>
        <w:t xml:space="preserve">Cancer-related signalling activities:</w:t>
      </w:r>
      <w:r>
        <w:br/>
      </w:r>
      <w:r>
        <w:t xml:space="preserve">• activates the Akt-mTOR pathway via phosphorylation of Akt and S6K1 in non-small-cell lung cancer (Jacquet &amp; Zhao, 2025, pp. 6-8)</w:t>
      </w:r>
      <w:r>
        <w:br/>
      </w:r>
      <w:r>
        <w:t xml:space="preserve">• modulates RELB-dependent NF-κB signalling and TNFα-induced HIF-1α accumulation in prostate cancer and osteosarcoma (Jacquet &amp; Zhao, 2025, pp. 6-8)</w:t>
      </w:r>
      <w:r>
        <w:br/>
      </w:r>
      <w:r>
        <w:t xml:space="preserve">• regulates melanoma cell motility through MYL6 and other cytoskeletal proteins (Jacquet &amp; Zhao, 2025, pp. 6-8, 15-17).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(No inhibitors reported in the provided literature.)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ADCK2 haploinsufficiency causes a mitochondrial disorder characterised by reduced CoQ content, impaired lipid oxidation, decreased β-oxidation capacity and myopathy; CoQ supplementation partially rescues mitochondrial dysfunction (Jacquet &amp; Zhao, 2025, pp. 6-8; Vazquez-Fonseca et al., 2019, pp. 1374-1376).</w:t>
      </w:r>
    </w:p>
    <w:p>
      <w:pPr>
        <w:pStyle w:val="BodyText"/>
      </w:pPr>
      <w:r>
        <w:t xml:space="preserve">Oncology observations: elevated ADCK2 expression correlates with tumour size in ER-positive luminal A breast cancer; somatic mutations are detected in a subset of breast tumours. High expression predicts poor survival in NSCLC, and gene knockout suppresses tumour growth (Jacquet &amp; Zhao, 2025, pp. 6-8). ADCK2 also promotes hypoxia-driven progression in prostate cancer and osteosarcoma and influences melanoma metastasis (Jacquet &amp; Zhao, 2025, pp. 6-8).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Jacquet, N., &amp; Zhao, Y. (2025). The ADCK kinase family: key regulators of bioenergetics and mitochondrial function and their implications in human cancers. International Journal of Molecular Sciences, 26, 5783. https://doi.org/10.3390/ijms26125783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1912-1934. https://doi.org/10.1126/science.1075762</w:t>
      </w:r>
    </w:p>
    <w:p>
      <w:pPr>
        <w:pStyle w:val="BodyText"/>
      </w:pPr>
      <w:r>
        <w:t xml:space="preserve">Unknown Authors. (2017). Exploring the mitochondrial function in muscle and molecular dysregulation in cerebellum in a mouse model for ARCA2, a recessive ataxia with coenzyme Q10 deficiency (pp. 49-51).</w:t>
      </w:r>
    </w:p>
    <w:p>
      <w:pPr>
        <w:pStyle w:val="BodyText"/>
      </w:pPr>
      <w:r>
        <w:t xml:space="preserve">Vazquez-Fonseca, L., Schäfer, J., Navas-Enamorado, I., Santos-Ocaña, C., Hernández-Camacho, J. D., Guerra, I., … Navas, P. (2019). ADCK2 haploinsufficiency reduces mitochondrial lipid oxidation and causes myopathy associated with CoQ deficiency. Journal of Clinical Medicine, 8, 1374. https://doi.org/10.3390/jcm8091374</w:t>
      </w:r>
    </w:p>
    <w:p>
      <w:pPr>
        <w:pStyle w:val="BodyText"/>
      </w:pPr>
      <w:r>
        <w:t xml:space="preserve">Vazquez-Fonseca, L., Schäfer, J., Navas-Enamorado, I., Santos-Ocaña, C., Hernández-Camacho, J. D., Guerra, I., … Navas, P. (2019). ADCK2 haploinsufficiency reduces mitochondrial lipid oxidation and causes myopathy associated with CoQ deficiency (Preprint Version v1). https://doi.org/10.20944/preprints201908.0069.v1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2025-07-03T22:43:51Z</dcterms:created>
  <dcterms:modified xsi:type="dcterms:W3CDTF">2025-07-03T22:43:51Z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