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PRAG1 (also called SGK223) is one of three members of the “New Kinase Family 3” (NKF3) pseudokinase branch together with PEAK1/SGK269 and PEAK3/C19orf35 (Ha &amp; Boggon, 2018; López et al., 2019). The PRAG1 and PEAK1 kinase-fold domains share &gt;45 % sequence identity, yet overall identity to catalytically competent protein kinases is low (~13–25 %) (Ha &amp; Boggon, 2018; Lecointre et al., 2018). Because it lacks multiple catalytic motifs, PRAG1 is classified as a pseudokinase within the human kinome (Lecointre et al., 2018; López et al., 2019). The Glu-Pro-Ile-Tyr-Ala (EPIYA) motif is conserved in mammalian orthologues (Safari et al., 2011).</w:t>
      </w:r>
      <w:r>
        <w:br/>
      </w:r>
      <w:r>
        <w:t xml:space="preserve">NOTE: One high-throughput phospho-profiling study grouped PRAG1 with Ca2+/calmodulin-dependent kinases (CAMK) (Johnson et al., 2023); this assignment conflicts with structural/biochemical data designating PRAG1 as catalytically inactive.</w:t>
      </w:r>
    </w:p>
    <w:bookmarkEnd w:id="9"/>
    <w:bookmarkStart w:id="10" w:name="reaction-catalysed"/>
    <w:p>
      <w:pPr>
        <w:pStyle w:val="Heading2"/>
      </w:pPr>
      <w:r>
        <w:t xml:space="preserve">Reaction catalysed</w:t>
      </w:r>
    </w:p>
    <w:p>
      <w:pPr>
        <w:pStyle w:val="FirstParagraph"/>
      </w:pPr>
      <w:r>
        <w:t xml:space="preserve">No phosphotransferase activity has been detected. Thermal-shift, ATP-binding and in-vitro kinase assays show that PRAG1 neither binds ATP nor transfers phosphate (Lecointre et al., 2018; Tactacan et al., 2015).</w:t>
      </w:r>
      <w:r>
        <w:br/>
      </w:r>
      <w:r>
        <w:t xml:space="preserve">Contrasting evidence: Johnson et al. (2023) reported low-level serine/threonine phosphorylation activity in an array format.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None detected. The protein lacks the DFG motif needed for Mg²⁺ coordination, does not bind Mg²⁺ or ATP, and shows no cofactor dependence in biochemical assays (Lecointre et al., 2018; Senda et al., 2016).</w:t>
      </w:r>
      <w:r>
        <w:br/>
      </w:r>
      <w:r>
        <w:t xml:space="preserve">Contrasting evidence: Johnson et al. (2023) inferred ATP usage as phosphate donor.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Because PRAG1 is catalytically inert, intrinsic substrate specificity has not been demonstrated; signalling effects arise through binding to active kinases such as C-terminal Src kinase (Csk) (Lecointre et al., 2018).</w:t>
      </w:r>
      <w:r>
        <w:br/>
      </w:r>
      <w:r>
        <w:t xml:space="preserve">Contrasting evidence: peptide-array profiling placed PRAG1 within a CAMK-like, basophilic preference class (Johnson et al., 2023).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Multi-domain architecture:</w:t>
      </w:r>
      <w:r>
        <w:br/>
      </w:r>
      <w:r>
        <w:t xml:space="preserve">• N-terminal segment (1–216) of unknown fold.</w:t>
      </w:r>
      <w:r>
        <w:br/>
      </w:r>
      <w:r>
        <w:t xml:space="preserve">• Central PEST-rich, largely disordered linker (217–931) harbouring multiple phosphorylation sites.</w:t>
      </w:r>
      <w:r>
        <w:br/>
      </w:r>
      <w:r>
        <w:t xml:space="preserve">• C-terminal pseudokinase (PsK) domain (950–1292) flanked by helical extensions that form an “XL/SHED” four-helix dimerisation module (906–949 and 1293–1368) (Patel et al., 2017; Ha &amp; Boggon, 2018; Lecointre et al., 2018).</w:t>
      </w:r>
    </w:p>
    <w:p>
      <w:pPr>
        <w:pStyle w:val="BodyText"/>
      </w:pPr>
      <w:r>
        <w:t xml:space="preserve">PsK domain features: canonical bilobal kinase fold locked in a closed, inactive conformation; degenerate glycine-rich loop, absent DFG motif, truncated αC helix lacking the Glu that pairs with β3 Lys; Lys997 is sequestered by an inhibitory triad (Asp978, Tyr981, Gln1021) blocking ATP access (Patel et al., 2017; Lecointre et al., 2018).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Compact"/>
        <w:numPr>
          <w:ilvl w:val="0"/>
          <w:numId w:val="1001"/>
        </w:numPr>
      </w:pPr>
      <w:r>
        <w:t xml:space="preserve">Tyrosine phosphorylation within the central linker—major site Tyr391 (EPIYA), plus Tyr238, Tyr343, Tyr411—by Src-family kinases, Csk, HER2, Lyn and DDR1 (Senda et al., 2016; Patel et al., 2017; Lecointre et al., 2018).</w:t>
      </w:r>
      <w:r>
        <w:br/>
      </w:r>
      <w:r>
        <w:t xml:space="preserve">• pTyr391/411 recruits the SH2 domain of Csk, establishing a feed-forward loop in which Csk further phosphorylates PRAG1 (Senda et al., 2016).</w:t>
      </w:r>
      <w:r>
        <w:br/>
      </w:r>
      <w:r>
        <w:t xml:space="preserve">• Phospho-PRAG1 also binds Grb2, Shc and other SH2/PTB proteins (Patel et al., 2017).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Homodimerisation via the SHED module is essential for high-affinity Csk binding and stimulation of Csk catalytic activity; dimer-defective mutants fail to activate Csk (Patel et al., 2017; Lecointre et al., 2018).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Catalytically inactive scaffold that modulates signalling through protein–protein interactions (Lecointre et al., 2018).</w:t>
      </w:r>
      <w:r>
        <w:br/>
      </w:r>
      <w:r>
        <w:t xml:space="preserve">• Tissue expression: brain (cortex, hippocampus), kidney, spleen, colon, small intestine (Tanaka et al., 2006; O’Rourke &amp; Daly, 2018).</w:t>
      </w:r>
      <w:r>
        <w:br/>
      </w:r>
      <w:r>
        <w:t xml:space="preserve">• Subcellular localisation: plasma membrane, cytosol, focal adhesions (O’Rourke &amp; Daly, 2018).</w:t>
      </w:r>
      <w:r>
        <w:br/>
      </w:r>
      <w:r>
        <w:t xml:space="preserve">• Interactors and pathways:</w:t>
      </w:r>
      <w:r>
        <w:br/>
      </w:r>
      <w:r>
        <w:t xml:space="preserve">– Binds Rnd2 GTPase to enhance RhoA activity, regulating actomyosin contractility and neurite outgrowth (Tanaka et al., 2006).</w:t>
      </w:r>
      <w:r>
        <w:br/>
      </w:r>
      <w:r>
        <w:t xml:space="preserve">– Dimerises with and activates Csk, indirectly modulating Src-family kinase activity (Lecointre et al., 2018).</w:t>
      </w:r>
      <w:r>
        <w:br/>
      </w:r>
      <w:r>
        <w:t xml:space="preserve">– Associates with AMPK and components of the Notch transcriptional complex (Lecointre et al., 2018).</w:t>
      </w:r>
      <w:r>
        <w:br/>
      </w:r>
      <w:r>
        <w:t xml:space="preserve">Consequently, PRAG1 participates in Rnd2/RhoA, SFK, Notch and JAK/STAT signalling networks (O’Rourke &amp; Daly, 2018; Tactacan et al., 2015).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PRAG1 is frequently over-expressed in pancreatic, oesophageal, lung and colon adenocarcinomas, correlating with poor prognosis in non-small-cell lung cancer; it promotes tumour cell proliferation, migration and invasion (O’Rourke &amp; Daly, 2018; Tactacan et al., 2015). Global knockout in mice is embryonic lethal (O’Rourke &amp; Daly, 2018). Mutations disrupting either the SHED dimer interface or the Tyr391 phosphorylation site abolish Csk activation and downstream protein tyrosine phosphorylation (Lecointre et al., 2018).</w:t>
      </w:r>
    </w:p>
    <w:bookmarkEnd w:id="16"/>
    <w:bookmarkStart w:id="17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Ha, B. H., &amp; Boggon, T. J. (2018). The crystal structure of pseudokinase PEAK1 (Sugen kinase 269) reveals an unusual catalytic cleft and a novel mode of kinase fold dimerization. Journal of Biological Chemistry, 293, 1642–1650. https://doi.org/10.1074/jbc.ra117.000751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Lecointre, C., Simon, V., Kerneur, C., Allemand, F., Fournet, A., Montarras, I., … Roche, S. (2018). Dimerization of the Pragmin pseudo-kinase regulates protein tyrosine phosphorylation. bioRxiv. https://doi.org/10.1101/218669</w:t>
      </w:r>
    </w:p>
    <w:p>
      <w:pPr>
        <w:pStyle w:val="BodyText"/>
      </w:pPr>
      <w:r>
        <w:t xml:space="preserve">López, M. L., Lo, M., Kung, J. E., Dudkiewicz, M., Jang, G. M., Von Dollen, J., … Jura, N. (2019). PEAK3/C19orf35 pseudokinase, a new NKF3 kinase family member, inhibits CK2 through dimerization. Proceedings of the National Academy of Sciences, 116, 15495–15504. https://doi.org/10.1073/pnas.1906360116</w:t>
      </w:r>
    </w:p>
    <w:p>
      <w:pPr>
        <w:pStyle w:val="BodyText"/>
      </w:pPr>
      <w:r>
        <w:t xml:space="preserve">O’Rourke, R. L., &amp; Daly, R. J. (2018). The pseudokinases SGK269 and SGK223: A novel oncogenic alliance in human cancer. Cell Adhesion &amp; Migration, 12, 524–528. https://doi.org/10.1080/19336918.2017.1394570</w:t>
      </w:r>
    </w:p>
    <w:p>
      <w:pPr>
        <w:pStyle w:val="BodyText"/>
      </w:pPr>
      <w:r>
        <w:t xml:space="preserve">Patel, O., Griffin, M. D. W., Panjikar, S., Dai, W., Ma, X., Chan, H., … Lucet, I. S. (2017). Structure of SGK223 pseudokinase reveals novel mechanisms of homotypic and heterotypic association. Nature Communications, 8, 1508. https://doi.org/10.1038/s41467-017-01279-9</w:t>
      </w:r>
    </w:p>
    <w:p>
      <w:pPr>
        <w:pStyle w:val="BodyText"/>
      </w:pPr>
      <w:r>
        <w:t xml:space="preserve">Patel, O., Roy, M. J., Murphy, J. M., &amp; Lucet, I. S. (2020). The PEAK family of pseudokinases, their role in cell signalling and cancer. The FEBS Journal, 287, 4175–4198. https://doi.org/10.1111/febs.15087</w:t>
      </w:r>
    </w:p>
    <w:p>
      <w:pPr>
        <w:pStyle w:val="BodyText"/>
      </w:pPr>
      <w:r>
        <w:t xml:space="preserve">Safari, F., Murata-Kamiya, N., Saito, Y., &amp; Hatakeyama, M. (2011). Mammalian Pragmin regulates Src family kinases via the Glu-Pro-Ile-Tyr-Ala (EPIYA) motif that is exploited by bacterial effectors. Proceedings of the National Academy of Sciences, 108, 14938–14943. https://doi.org/10.1073/pnas.1107740108</w:t>
      </w:r>
    </w:p>
    <w:p>
      <w:pPr>
        <w:pStyle w:val="BodyText"/>
      </w:pPr>
      <w:r>
        <w:t xml:space="preserve">Senda, Y., Murata-Kamiya, N., &amp; Hatakeyama, M. (2016). C-terminal Src kinase-mediated EPIYA phosphorylation of Pragmin creates a feed-forward C-terminal Src kinase activation loop that promotes cell motility. Cancer Science, 107, 972–980. https://doi.org/10.1111/cas.12962</w:t>
      </w:r>
    </w:p>
    <w:p>
      <w:pPr>
        <w:pStyle w:val="BodyText"/>
      </w:pPr>
      <w:r>
        <w:t xml:space="preserve">Tanaka, H., Katoh, H., &amp; Negishi, M. (2006). Pragmin, a novel effector of Rnd2 GTPase, stimulates RhoA activity. Journal of Biological Chemistry, 281, 10355–10364. https://doi.org/10.1074/jbc.M511314200</w:t>
      </w:r>
    </w:p>
    <w:p>
      <w:pPr>
        <w:pStyle w:val="BodyText"/>
      </w:pPr>
      <w:r>
        <w:t xml:space="preserve">Tactacan, C. M., Phua, Y. W., Liu, L., Zhang, L., Humphrey, E. S., Cowley, M., … Daly, R. J. (2015). The pseudokinase SGK223 promotes invasion of pancreatic ductal epithelial cells through JAK1/STAT3 signaling. Molecular Cancer, 14, 1–14. https://doi.org/10.1186/s12943-015-0412-3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2025-07-03T21:18:39Z</dcterms:created>
  <dcterms:modified xsi:type="dcterms:W3CDTF">2025-07-03T21:18:39Z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