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VRK3 is one of three metazoan Vaccinia-related kinases (VRK1–3) that form a distinct branch within the “Other” group of the human kinome because their catalytic motifs diverge from those of canonical casein-kinase-like enzymes (Scheeff et al., 2009). The subfamily is distantly related to the pox-viral B1R kinase (Scheeff et al., 2009) and is evolutionarily conserved, with orthologs reported in human, mouse, rat, zebrafish, fruit-fly and nematode genomes (Nichols &amp; Traktman, 2004; Vaccinia-related kinase signaling,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barrier-to-autointegration factor (Ser4) ⇌ ADP + barrier-to-autointegration factor (Ser4-P) (Park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BAF phosphorylation in vitro requires a divalent metal ion; the specific cation was not identified (Park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Only one high-confidence substrate has been validated: BAF, phosphorylated exclusively on Ser4. Large-scale profiling failed to uncover additional targets, and a consensus recognition motif has not been established (Park et al., 2015; Scheeff et al., 2009).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Residues 1–147: intrinsically disordered N-terminus bearing a bipartite nuclear-localisation signal (Moura et al., 2016).</w:t>
      </w:r>
      <w:r>
        <w:br/>
      </w:r>
      <w:r>
        <w:t xml:space="preserve">• Residues 148–472: kinase-like domain; crystal structures PDB 2V62 and 2JII reveal a canonical bilobal fold locked in a closed conformation by a unique αC4 helix (Scheeff et al., 2009).</w:t>
      </w:r>
      <w:r>
        <w:br/>
      </w:r>
      <w:r>
        <w:t xml:space="preserve">• Full-length model available from AlphaFold (AF-Q8IV63-F1).</w:t>
      </w:r>
    </w:p>
    <w:p>
      <w:pPr>
        <w:pStyle w:val="BodyText"/>
      </w:pPr>
      <w:r>
        <w:t xml:space="preserve">Key features</w:t>
      </w:r>
      <w:r>
        <w:br/>
      </w:r>
      <w:r>
        <w:t xml:space="preserve">– Catalytic motifs are degenerated (TRDNQG glycine loop; Lys201→Ser; HRD Asp→Asn306; DFG Asp→Gly326) and ATP binding is sterically blocked by Asp175, Gln177 and Phe313, classifying VRK3 as a pseudokinase (Scheeff et al., 2009).</w:t>
      </w:r>
      <w:r>
        <w:br/>
      </w:r>
      <w:r>
        <w:t xml:space="preserve">– Despite loss of catalysis, stabilising elements such as the Lys203-Glu214 ion pair and the hydrophobic spine are retained, conferring high thermal stability (Scheeff et al., 2009).</w:t>
      </w:r>
      <w:r>
        <w:br/>
      </w:r>
      <w:r>
        <w:t xml:space="preserve">– A conserved surface patch on the C-lobe serves as a docking interface for VHR phosphatase and other partners (Scheeff et al., 2009).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</w:t>
      </w:r>
      <w:r>
        <w:br/>
      </w:r>
      <w:r>
        <w:t xml:space="preserve">• Stress-activated CDK5 phosphorylates VRK3, potentiating activation of the VHR phosphatase (Liu et al., 2019).</w:t>
      </w:r>
    </w:p>
    <w:p>
      <w:pPr>
        <w:pStyle w:val="BodyText"/>
      </w:pPr>
      <w:r>
        <w:t xml:space="preserve">Protein interactions / allostery</w:t>
      </w:r>
      <w:r>
        <w:br/>
      </w:r>
      <w:r>
        <w:t xml:space="preserve">• Binding of BAF to the disordered N-terminus induces conformational changes that enable Ser4 phosphorylation (Park et al., 2015).</w:t>
      </w:r>
      <w:r>
        <w:br/>
      </w:r>
      <w:r>
        <w:t xml:space="preserve">• VRK3 forms a scaffold with VHR (DUSP3) and ERK, accelerating VHR-mediated ERK dephosphorylation (Scheeff et al., 2009).</w:t>
      </w:r>
      <w:r>
        <w:br/>
      </w:r>
      <w:r>
        <w:t xml:space="preserve">• Interacts with GDP-bound Ran GTPase; functional consequences remain unclear (Moura et al., 2016).</w:t>
      </w:r>
    </w:p>
    <w:p>
      <w:pPr>
        <w:pStyle w:val="BodyText"/>
      </w:pPr>
      <w:r>
        <w:t xml:space="preserve">Expression and localisation</w:t>
      </w:r>
      <w:r>
        <w:br/>
      </w:r>
      <w:r>
        <w:t xml:space="preserve">• mRNA is enriched during murine embryonic haematopoiesis and in adult liver, kidney, muscle, thymus and bone marrow; lower in spleen (Moura et al., 2016).</w:t>
      </w:r>
      <w:r>
        <w:br/>
      </w:r>
      <w:r>
        <w:t xml:space="preserve">• Protein abundance peaks at the G1/S transition, in contrast to mitotic peaking of VRK1 (Park et al., 2015).</w:t>
      </w:r>
      <w:r>
        <w:br/>
      </w:r>
      <w:r>
        <w:t xml:space="preserve">• The intrinsic NLS targets VRK3 to the nucleoplasm (Moura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Nuclear-envelope dynamics: BAF Ser4 phosphorylation by VRK3 supports envelope disassembly/reassembly during interphase (Park et al., 2015).</w:t>
      </w:r>
      <w:r>
        <w:br/>
      </w:r>
      <w:r>
        <w:t xml:space="preserve">• MAPK signalling: VRK3 activates VHR, leading to dephosphorylation and timely inactivation of nuclear ERK1/2 (Scheeff et al., 2009; Moura et al., 2016).</w:t>
      </w:r>
      <w:r>
        <w:br/>
      </w:r>
      <w:r>
        <w:t xml:space="preserve">• Stress response: Under glutamate stress, CDK5-modified VRK3 promotes nuclear import of HSP70, reinforcing ERK suppression (Liu et al., 2019).</w:t>
      </w:r>
      <w:r>
        <w:br/>
      </w:r>
      <w:r>
        <w:t xml:space="preserve">• Cell-cycle control: Over-expression accelerates S-phase entry, whereas knock-down delays proliferation (Park et al., 2015).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VRK3 gene maps to chromosome 19q13.33, and no germline or somatic disease-linked mutations have been reported (Vázquez-Cedeira et al., 2012; Moura et al., 2016).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Liu, P.-F., Du, Y., Meng, L., Li, X., Yang, D., &amp; Liu, Y. (2019). Phosphoproteomic analyses of kidneys of Atlantic salmon infected with Aeromonas salmonicida. Scientific Reports, 9, Article 38890. https://doi.org/10.1038/s41598-019-38890-3</w:t>
      </w:r>
    </w:p>
    <w:p>
      <w:pPr>
        <w:pStyle w:val="BodyText"/>
      </w:pPr>
      <w:r>
        <w:t xml:space="preserve">Moura, D. S., Cantarero, L., Martín-Doncel, E., Campillo-Marcos, I., &amp; Lazo, P. A. (2016). VRK3. In S. Choi (Ed.), Encyclopedia of Signaling Molecules (pp. 1–4). Springer. https://doi.org/10.1007/978-1-4614-6438-9_563-1</w:t>
      </w:r>
    </w:p>
    <w:p>
      <w:pPr>
        <w:pStyle w:val="BodyText"/>
      </w:pPr>
      <w:r>
        <w:t xml:space="preserve">Nichols, R. J., &amp; Traktman, P. (2004). Characterization of three paralogous members of the mammalian vaccinia related kinase family. Journal of Biological Chemistry, 279, 7934–7946. https://doi.org/10.1074/jbc.M310813200</w:t>
      </w:r>
    </w:p>
    <w:p>
      <w:pPr>
        <w:pStyle w:val="BodyText"/>
      </w:pPr>
      <w:r>
        <w:t xml:space="preserve">Park, C.-H., Ryu, H. G., Kim, S.-H., Lee, D., Song, H., &amp; Kim, K.-T. (2015). Presumed pseudokinase VRK3 functions as a BAF kinase. Biochimica et Biophysica Acta – Molecular Cell Research, 1853, 1738–1748. https://doi.org/10.1016/j.bbamcr.2015.04.007</w:t>
      </w:r>
    </w:p>
    <w:p>
      <w:pPr>
        <w:pStyle w:val="BodyText"/>
      </w:pPr>
      <w:r>
        <w:t xml:space="preserve">Scheeff, E. D., Eswaran, J., Bunkóczi, G., Knapp, S., &amp; Manning, G. (2009). Structure of the pseudokinase VRK3 reveals a degraded catalytic site, a highly conserved kinase fold, and a putative regulatory binding site. Structure, 17, 128–138. https://doi.org/10.1016/j.str.2008.10.018</w:t>
      </w:r>
    </w:p>
    <w:p>
      <w:pPr>
        <w:pStyle w:val="BodyText"/>
      </w:pPr>
      <w:r>
        <w:t xml:space="preserve">Vaccinia-related kinase (VRK) signaling. (2010). Unpublished manuscript, pp. 1–4.</w:t>
      </w:r>
    </w:p>
    <w:p>
      <w:pPr>
        <w:pStyle w:val="BodyText"/>
      </w:pPr>
      <w:r>
        <w:t xml:space="preserve">Vázquez-Cedeira, M., Monsalve, D. M., Sanz-García, M., &amp; Lazo, P. A. (2012). Vaccinia-related kinase-3 (VRK3). In S. Choi (Ed.), Encyclopedia of Signaling Molecules (pp. 1955–1957). Springer. https://doi.org/10.1007/978-1-4419-0461-4_563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2025-07-03T22:50:45Z</dcterms:created>
  <dcterms:modified xsi:type="dcterms:W3CDTF">2025-07-03T22:50:45Z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