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MAP4K3 (also GLK/KHS2) is a member of the STE20 family, GCK-I subfamily. Its closest human paralogues are MAP4K1, MAP4K2, MAP4K4 and MAP4K5 (Silvian, 2017). Orthologues in Mus musculus (Map4k3), Rattus norvegicus (Map4k3), Drosophila melanogaster (happyhour), Caenorhabditis elegans (MIG-15) and Saccharomyces cerevisiae (Ste20p) indicate deep evolutionary conservation (Chuang &amp; Tan, 2019). A longer activation loop than in MAP4K4 confers a distinctive, loose activation-loop-swapped dimer unique to MAP4K3 (Marcotte et al., 2017).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→ ADP + protein-Ser/Thr-phosphate (Marcotte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Mg²⁺ (~10 mM MgCl₂). Mn²⁺ is not needed for phosphotransfer and is used only during phosphatase control steps (Marcotte et al., 2017).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Validated substrates include PKCθ Thr538, TFEB Ser3, IQGAP1 Ser480, the activation loops of LATS1/2 and myelin basic protein (Chuang et al., 2016). A kinome-wide survey has not yet defined a consensus phosphorylation motif for MAP4K3 (Han et al.,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kinase domain (residues 1–314), central proline-rich/PEST segment, C-terminal citron-homology domain (Thiriet, 2013).</w:t>
      </w:r>
      <w:r>
        <w:br/>
      </w:r>
      <w:r>
        <w:t xml:space="preserve">• 2.85 Å crystal structure (PDB 5J5T) shows an activation-loop-swapped dimer formed via APE and TYPW motifs (Marcotte et al., 2017).</w:t>
      </w:r>
      <w:r>
        <w:br/>
      </w:r>
      <w:r>
        <w:t xml:space="preserve">• Key catalytic features: Lys45–Glu61 salt bridge, intact HRD triad, aligned regulatory spine; phospho-Ser170 stabilises the activation loop, and the S170A mutant retains ATP binding but ≤ 3 % activity (Marcotte et al., 2017).</w:t>
      </w:r>
      <w:r>
        <w:br/>
      </w:r>
      <w:r>
        <w:t xml:space="preserve">• A straight P-loop and αK-helix Asn290 create an inhibitor-binding pocket, and an acidic C-terminal extension docks into a neighbouring basic groove, reminiscent of AGC-kinase PIF binding (Marcotte et al., 2017).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Essential autophosphorylation on Ser170; dephosphorylated and inactivated by PP2A-PR61ε (Chuang et al., 2016; Silvian, 2017).</w:t>
      </w:r>
      <w:r>
        <w:br/>
      </w:r>
      <w:r>
        <w:t xml:space="preserve">• Growth factors induce phosphorylation at Tyr366, Tyr379, Tyr574 and Tyr735 (Chuang &amp; Tan, 2019).</w:t>
      </w:r>
      <w:r>
        <w:br/>
      </w:r>
      <w:r>
        <w:t xml:space="preserve">• TRAF2-dependent K63-linked ubiquitination enhances kinase activation and JNK signalling (Chuang et al., 2016).</w:t>
      </w:r>
      <w:r>
        <w:br/>
      </w:r>
      <w:r>
        <w:t xml:space="preserve">• STRN4-containing STRIPAK complex binds and suppresses MAP4K3, restraining Hippo pathway output (Seo et al., 2020).</w:t>
      </w:r>
      <w:r>
        <w:br/>
      </w:r>
      <w:r>
        <w:t xml:space="preserve">• The activation-loop-swapped dimer collapses when Ser170 is dephosphorylated (Marcotte et al., 2017).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MAP4K3 is ubiquitously expressed and becomes up-regulated in T and B lymphocytes following TCR, TNF-α or Wnt3a stimulation (Diener et al., 1997).</w:t>
      </w:r>
      <w:r>
        <w:br/>
      </w:r>
      <w:r>
        <w:t xml:space="preserve">• Immune signalling: GLK binds SLP-76 and phosphorylates PKCθ Thr538, activating IKK/NF-κB and promoting Th1/Th2/Th17 cytokine production (Chuang et al., 2016).</w:t>
      </w:r>
      <w:r>
        <w:br/>
      </w:r>
      <w:r>
        <w:t xml:space="preserve">• Stress pathways: Over-expression stimulates the MEKK1→MKK4→JNK cascade but not ERK or p38 (Chuang et al., 2016).</w:t>
      </w:r>
      <w:r>
        <w:br/>
      </w:r>
      <w:r>
        <w:t xml:space="preserve">• Nutrient sensing &amp; autophagy: Ser170 phosphorylation links amino-acid sufficiency to mTORC1 and phosphorylates TFEB Ser3, suppressing autophagy (Chuang &amp; Tan, 2019).</w:t>
      </w:r>
      <w:r>
        <w:br/>
      </w:r>
      <w:r>
        <w:t xml:space="preserve">• Hippo pathway: MAP4K3 phosphorylates LATS1/2 to activate Hippo signalling, an effect antagonised by STRIPAK (Seo et al., 2020).</w:t>
      </w:r>
      <w:r>
        <w:br/>
      </w:r>
      <w:r>
        <w:t xml:space="preserve">• Cell migration: Phosphorylation of IQGAP1 Ser480 promotes Cdc42-mediated migration (Chuang &amp; Tan, 2019).</w:t>
      </w:r>
      <w:r>
        <w:br/>
      </w:r>
      <w:r>
        <w:t xml:space="preserve">• Apoptosis: Via JNK, GLK stabilises BH3-only proteins and phosphorylates BIM, driving apoptosis (Lam et al., 2009).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Verteporfin, IC₅₀ ≈ 1.15 nM, reduces IL-17A production (Chuang &amp; Tan, 2019).</w:t>
      </w:r>
      <w:r>
        <w:br/>
      </w:r>
      <w:r>
        <w:t xml:space="preserve">• Crizotinib analogues inhibit MAP4K3 in vitro but have limited in-vivo exposure (Chuang &amp; Tan, 2019).</w:t>
      </w:r>
      <w:r>
        <w:br/>
      </w:r>
      <w:r>
        <w:t xml:space="preserve">• Pyrrolo-pyridinylamine “Compound 1”, IC₅₀ ≈ 110 nM, co-crystallised with MAP4K3 and selective within GCK-I kinases (Marcotte et al., 2017).</w:t>
      </w:r>
      <w:r>
        <w:br/>
      </w:r>
      <w:r>
        <w:t xml:space="preserve">• Astragalus polysaccharide and 10-hydroxycamptothecin also suppress kinase activity and downstream mTORC1 signalling (Chuang &amp; Tan,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GLK-null mice show defective antibody responses and resistance to experimental autoimmune encephalomyelitis (Chuang et al., 2016). T-cell MAP4K3 levels correlate with disease activity in systemic lupus erythematosus, rheumatoid arthritis and adult-onset Still’s disease (Chuang &amp; Tan, 2019). High MAP4K3–IQGAP1 Ser480 complex abundance predicts metastasis and poor survival in non-small-cell lung carcinoma (Chuang &amp; Tan, 2019). A pancreatic cancer mutant (E351K) increases kinase activity (Chuang &amp; Tan,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Chuang, H.-C., Wang, X., &amp; Tan, T.-H. (2016). MAP4K family kinases in immunity and inflammation. Advances in Immunology, 129, 277–314. https://doi.org/10.1016/bs.ai.2015.09.006</w:t>
      </w:r>
    </w:p>
    <w:p>
      <w:pPr>
        <w:pStyle w:val="BodyText"/>
      </w:pPr>
      <w:r>
        <w:t xml:space="preserve">Chuang, H.-C., &amp; Tan, T.-H. (2019). MAP4K3/GLK in autoimmune disease, cancer and aging. Journal of Biomedical Science. https://doi.org/10.1186/s12929-019-0570-5</w:t>
      </w:r>
    </w:p>
    <w:p>
      <w:pPr>
        <w:pStyle w:val="BodyText"/>
      </w:pPr>
      <w:r>
        <w:t xml:space="preserve">Diener, K., Wang, X., Chen, C., Meyer, C., Keesler, G. A., Zukowski, M., Tan, T., &amp; Yao, Z. (1997). Activation of the c-Jun N-terminal kinase pathway by a novel protein kinase related to human germinal center kinase. Proceedings of the National Academy of Sciences of the United States of America, 94(18), 9687–9692. https://doi.org/10.1073/pnas.94.18.9687</w:t>
      </w:r>
    </w:p>
    <w:p>
      <w:pPr>
        <w:pStyle w:val="BodyText"/>
      </w:pPr>
      <w:r>
        <w:t xml:space="preserve">Han, H., Huang, Z., Xu, C., Seo, G., An, J., Yang, B., Liu, Y., Lan, T., Yan, J., Ren, S., Xu, Y., Xiao, D., Yan, J. K., Ahn, C., Fishman, D. A., Meng, Z., Qi, R., Luo, R., &amp; Wang, W. (2024). Functional annotation of the Hippo pathway somatic mutations in human cancers. Nature Communications. https://doi.org/10.1038/s41467-024-54480-y</w:t>
      </w:r>
    </w:p>
    <w:p>
      <w:pPr>
        <w:pStyle w:val="BodyText"/>
      </w:pPr>
      <w:r>
        <w:t xml:space="preserve">Lam, D., Dickens, D., Reid, E. B., Loh, S. H. Y., Moisoi, N., &amp; Martins, L. M. (2009). MAP4K3 modulates cell death via the post-transcriptional regulation of BH3-only proteins. Proceedings of the National Academy of Sciences, 106, 11978–11983. https://doi.org/10.1073/pnas.0900608106</w:t>
      </w:r>
    </w:p>
    <w:p>
      <w:pPr>
        <w:pStyle w:val="BodyText"/>
      </w:pPr>
      <w:r>
        <w:t xml:space="preserve">Marcotte, D., Rushe, M., Arduini, R. M., Lukacs, C., Atkins, K., Sun, X., Little, K., Cullivan, M., Paramasivam, M., Patterson, T. A., Hesson, T., McKee, T. D., May-Dracka, T. L., Xin, Z., Bertolotti-Ciarlet, A., Bhisetti, G. R., Lyssikatos, J. P., &amp; Silvian, L. F. (2017). Germinal-center kinase-like kinase co-crystal structure reveals a swapped activation loop and C-terminal extension. Protein Science. https://doi.org/10.1002/pro.3062</w:t>
      </w:r>
    </w:p>
    <w:p>
      <w:pPr>
        <w:pStyle w:val="BodyText"/>
      </w:pPr>
      <w:r>
        <w:t xml:space="preserve">Seo, G., Han, H., Vargas, R., Yang, B., Li, X., &amp; Wang, W. (2020). MAP4K interactome reveals STRN4 as a key STRIPAK complex component in Hippo pathway regulation. Cell Reports, 32(1), 107860. https://doi.org/10.1016/j.celrep.2020.107860</w:t>
      </w:r>
    </w:p>
    <w:p>
      <w:pPr>
        <w:pStyle w:val="BodyText"/>
      </w:pPr>
      <w:r>
        <w:t xml:space="preserve">Silvian, L. (2017). How can the structure of germinal-center kinase-like kinase help us in drug discovery? Future Medicinal Chemistry, 9, 1583–1585. https://doi.org/10.4155/fmc-2017-0133</w:t>
      </w:r>
    </w:p>
    <w:p>
      <w:pPr>
        <w:pStyle w:val="BodyText"/>
      </w:pPr>
      <w:r>
        <w:t xml:space="preserve">Thiriet, M. (2013). Cytoplasmic protein serine/threonine kinases. In M. Thiriet (Ed.), Biomathematical and Biomechanical Modeling of the Circulatory and Ventilatory Systems (pp. 175–310). Springer. https://doi.org/10.1007/978-1-4614-4370-4_5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2025-07-03T19:54:14Z</dcterms:created>
  <dcterms:modified xsi:type="dcterms:W3CDTF">2025-07-03T19:54:14Z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