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Proposed EC/sub-subclass:</w:t>
      </w:r>
      <w:r>
        <w:br/>
      </w:r>
      <w:r>
        <w:t xml:space="preserve">Not assigned – TEX14 is catalytically inactive (pseudokinase).</w:t>
      </w:r>
    </w:p>
    <w:p>
      <w:pPr>
        <w:pStyle w:val="BodyText"/>
      </w:pPr>
      <w:r>
        <w:t xml:space="preserve">Accepted name:</w:t>
      </w:r>
      <w:r>
        <w:br/>
      </w:r>
      <w:r>
        <w:t xml:space="preserve">Testis-expressed protein 14</w:t>
      </w:r>
    </w:p>
    <w:p>
      <w:pPr>
        <w:pStyle w:val="BodyText"/>
      </w:pPr>
      <w:r>
        <w:t xml:space="preserve">Synonyms:</w:t>
      </w:r>
      <w:r>
        <w:br/>
      </w:r>
      <w:r>
        <w:t xml:space="preserve">TEX14; Testis-expressed gene 14</w:t>
      </w:r>
    </w:p>
    <w:p>
      <w:pPr>
        <w:pStyle w:val="BodyText"/>
      </w:pPr>
      <w:r>
        <w:t xml:space="preserve">Phylogeny</w:t>
      </w:r>
      <w:r>
        <w:br/>
      </w:r>
      <w:r>
        <w:t xml:space="preserve">Orthologues have been cloned from Homo sapiens, Mus musculus, Xenopus laevis and Gallus gallus, but no counterparts are detectable in invertebrate genomes, indicating a vertebrate-specific origin (Iwamori et al., 2010; Greenbaum et al., 2011). Within the human kinome, TEX14 groups with atypical pseudokinases outside the conventional Manning kinase clades because it lacks the VAIK, HRD and DFG catalytic motifs; sequence similarity to other pseudokinase families such as TRIB and STRAD is limited, placing TEX14 in its own sub-family (Unknown Authors, 2019).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No ATP-dependent phosphotransfer activity has been observed for TEX14 in vitro; the protein is regarded as enzymatically inactive (Mondal et al., 2012).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Because the active site is non-functional, TEX14 does not require divalent metal ions such as Mg²⁺ or Mn²⁺ for activity (Mondal et al., 2012).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Systematic kinase-substrate profiling failed to identify a consensus phosphorylation motif, consistent with the absence of catalytic activity (Mondal et al., 2012).</w:t>
      </w:r>
    </w:p>
    <w:p>
      <w:pPr>
        <w:pStyle w:val="BodyText"/>
      </w:pPr>
      <w:r>
        <w:t xml:space="preserve">Structure</w:t>
      </w:r>
      <w:r>
        <w:br/>
      </w:r>
      <w:r>
        <w:t xml:space="preserve">• Length: 1 450 amino acids (Greenbaum et al., 2006).</w:t>
      </w:r>
      <w:r>
        <w:br/>
      </w:r>
      <w:r>
        <w:t xml:space="preserve">• N-terminus: three ankyrin repeats that mediate protein–protein interactions (Greenbaum et al., 2006).</w:t>
      </w:r>
      <w:r>
        <w:br/>
      </w:r>
      <w:r>
        <w:t xml:space="preserve">• Central region (~residues 350–650): adopts a protein-kinase-like bilobal fold but lacks the catalytic VAIK, HRD and DFG motifs (Greenbaum et al., 2006).</w:t>
      </w:r>
      <w:r>
        <w:br/>
      </w:r>
      <w:r>
        <w:t xml:space="preserve">• Regulatory elements: five PLK1 polo-box docking motifs (residues 581–875), an APC/C^Cdc20 D-box (residues 527–535) and a C-terminal GPPX₃Y motif that binds CEP55 (Iwamori et al., 2010; Mondal et al., 2012).</w:t>
      </w:r>
      <w:r>
        <w:br/>
      </w:r>
      <w:r>
        <w:t xml:space="preserve">• Quaternary organisation: self-associates and contributes to the inner ring of the midbody matrix together with centralspindlin (Greenbaum, Ma, &amp; Matzuk, 2007).</w:t>
      </w:r>
      <w:r>
        <w:br/>
      </w:r>
      <w:r>
        <w:t xml:space="preserve">• Structural data: no experimental structure is available; AlphaFold model AF-Q8IWB6-F1 predicts a typical kinase fold lacking the catalytic spine (Unknown Authors, 2022).</w:t>
      </w:r>
    </w:p>
    <w:p>
      <w:pPr>
        <w:pStyle w:val="BodyText"/>
      </w:pPr>
      <w:r>
        <w:t xml:space="preserve">Regulation</w:t>
      </w:r>
      <w:r>
        <w:br/>
      </w:r>
      <w:r>
        <w:t xml:space="preserve">1. Cdk1 phosphorylates TEX14 in early mitosis, creating priming sites for PLK1 binding (Mondal et al., 2012).</w:t>
      </w:r>
      <w:r>
        <w:br/>
      </w:r>
      <w:r>
        <w:t xml:space="preserve">2. PLK1 phosphorylates Ser 431 during prometaphase/metaphase (Mondal et al., 2012).</w:t>
      </w:r>
      <w:r>
        <w:br/>
      </w:r>
      <w:r>
        <w:t xml:space="preserve">3. Phospho-Ser 431 promotes recognition of the adjacent D-box by APC/C^Cdc20, leading to ubiquitin-dependent proteasomal degradation; mutation of Ser 431 or the D-box stabilises TEX14 and delays anaphase onset (Mondal et al., 2012).</w:t>
      </w:r>
      <w:r>
        <w:br/>
      </w:r>
      <w:r>
        <w:t xml:space="preserve">4. During cytokinesis, TEX14 binds CEP55 via the GPPX₃Y motif, competitively blocking CEP55 interaction with ALIX and TSG101 and thereby inhibiting abscission (Iwamori et al., 2010).</w:t>
      </w:r>
    </w:p>
    <w:p>
      <w:pPr>
        <w:pStyle w:val="BodyText"/>
      </w:pPr>
      <w:r>
        <w:t xml:space="preserve">Function</w:t>
      </w:r>
      <w:r>
        <w:br/>
      </w:r>
      <w:r>
        <w:t xml:space="preserve">• Expression: highest in testicular tissue—Sertoli cells, spermatogonia, spermatocytes and spermatids (Bellil et al., 2021).</w:t>
      </w:r>
      <w:r>
        <w:br/>
      </w:r>
      <w:r>
        <w:t xml:space="preserve">• Germ-line role: male Tex14-knockout mice fail to stabilise intercellular bridges, arrest in meiosis I and are sterile (Greenbaum et al., 2006). TEX14 converts midbodies into stable intercellular bridges by binding CEP55 and blocking abscission (Iwamori et al., 2010).</w:t>
      </w:r>
      <w:r>
        <w:br/>
      </w:r>
      <w:r>
        <w:t xml:space="preserve">• Somatic mitosis: recruited to prophase kinetochores by PLK1 and required for assembly of MIS12 and NDC80 complexes; depletion compromises kinetochore–microtubule attachment, reduces intra-kinetochore tension and weakens spindle-assembly-checkpoint signalling via BubR1, Mad2 and Mps1 (Mondal et al., 2012). Timely degradation of TEX14 is necessary for normal anaphase onset (Mondal et al., 2012).</w:t>
      </w:r>
      <w:r>
        <w:br/>
      </w:r>
      <w:r>
        <w:t xml:space="preserve">• Interactions: binds CEP55 (abscission blockade), PLK1 (through polo-box motifs) and MKLP1 within the midbody matrix (Greenbaum, Ma, &amp; Matzuk, 2007).</w:t>
      </w:r>
    </w:p>
    <w:p>
      <w:pPr>
        <w:pStyle w:val="BodyText"/>
      </w:pPr>
      <w:r>
        <w:t xml:space="preserve">Inhibitors</w:t>
      </w:r>
      <w:r>
        <w:br/>
      </w:r>
      <w:r>
        <w:t xml:space="preserve">No chemical inhibitors have been reported.</w:t>
      </w:r>
    </w:p>
    <w:p>
      <w:pPr>
        <w:pStyle w:val="BodyText"/>
      </w:pPr>
      <w:r>
        <w:t xml:space="preserve">Other Comments</w:t>
      </w:r>
      <w:r>
        <w:br/>
      </w:r>
      <w:r>
        <w:t xml:space="preserve">Loss-of-function TEX14 variants (frameshift, nonsense, splice-site and partial deletions) segregate with non-obstructive azoospermia, maturation arrest and Sertoli-cell-only syndrome in men (Bellil et al., 2021). A ten-base-pair deletion causing a premature stop codon was identified in two infertile brothers with severe testicular hypoplasia (Bellil et al., 2021). Conversely, genomic amplification and over-expression of TEX14 occur in a subset of breast tumours and correlate with chromosomal instability (Mondal et al., 2012).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Bellil, H., Ghieh, F., Hermel, E., Mandon-Pepin, B., &amp; Vialard, F. (2021). Human testis-expressed (tex) genes: A review focused on spermatogenesis and male fertility. Basic and Clinical Andrology. https://doi.org/10.1186/s12610-021-00127-7</w:t>
      </w:r>
    </w:p>
    <w:p>
      <w:pPr>
        <w:pStyle w:val="FirstParagraph"/>
      </w:pPr>
      <w:r>
        <w:t xml:space="preserve">Greenbaum, M. P., Yan, W., Wu, M.-H., Lin, Y.-N., Agno, J. E., Sharma, M., Braun, R. E., Rajkovic, A., &amp; Matzuk, M. M. (2006). Tex14 is essential for intercellular bridges and fertility in male mice. Proceedings of the National Academy of Sciences of the United States of America, 103(13), 4982–4987. https://doi.org/10.1073/pnas.0505123103</w:t>
      </w:r>
    </w:p>
    <w:p>
      <w:pPr>
        <w:pStyle w:val="BodyText"/>
      </w:pPr>
      <w:r>
        <w:t xml:space="preserve">Greenbaum, M. P., Iwamori, T., Buchold, G. M., &amp; Matzuk, M. M. (2011). Germ cell intercellular bridges. Cold Spring Harbor Perspectives in Biology, 3, a005850. https://doi.org/10.1101/cshperspect.a005850</w:t>
      </w:r>
    </w:p>
    <w:p>
      <w:pPr>
        <w:pStyle w:val="BodyText"/>
      </w:pPr>
      <w:r>
        <w:t xml:space="preserve">Greenbaum, M., Ma, L., &amp; Matzuk, M. (2007). Conversion of midbodies into germ cell intercellular bridges. Developmental Biology, 305(2), 389–396. https://doi.org/10.1016/j.ydbio.2007.02.025</w:t>
      </w:r>
    </w:p>
    <w:p>
      <w:pPr>
        <w:pStyle w:val="BodyText"/>
      </w:pPr>
      <w:r>
        <w:t xml:space="preserve">Iwamori, T., Iwamori, N., Ma, L., Edson, M. A., Greenbaum, M. P., &amp; Matzuk, M. M. (2010). Tex14 interacts with cep55 to block cell abscission. Molecular and Cellular Biology, 30, 2280–2292. https://doi.org/10.1128/mcb.01392-09</w:t>
      </w:r>
    </w:p>
    <w:p>
      <w:pPr>
        <w:pStyle w:val="BodyText"/>
      </w:pPr>
      <w:r>
        <w:t xml:space="preserve">Mondal, G., Ohashi, A., Yang, L., Rowley, M., &amp; Couch, F. J. (2012). Tex14, a plk1-regulated protein, is required for kinetochore-microtubule attachment and regulation of the spindle assembly checkpoint. Molecular Cell, 45(5), 680–695. https://doi.org/10.1016/j.molcel.2012.01.013</w:t>
      </w:r>
    </w:p>
    <w:p>
      <w:pPr>
        <w:pStyle w:val="BodyText"/>
      </w:pPr>
      <w:r>
        <w:t xml:space="preserve">Unknown Authors. (2019). Tracing the evolution of the tyrosine kinome from sequence to function (pp. 160–165).</w:t>
      </w:r>
    </w:p>
    <w:p>
      <w:pPr>
        <w:pStyle w:val="BodyText"/>
      </w:pPr>
      <w:r>
        <w:t xml:space="preserve">Unknown Authors. (2022). Novel missense TEX15 variant case study (pp. 40–41).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2025-07-03T19:28:35Z</dcterms:created>
  <dcterms:modified xsi:type="dcterms:W3CDTF">2025-07-03T19:28:35Z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