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CDK20/CCRK is a CMGC-group serine/threonine protein kinase that sits within the transcription-associated CDK branch and is clearly separated from canonical cell-cycle CDKs such as CDK1, CDK2, CDK4 and CDK6 (Malumbres, 2014; Wood &amp; Endicott, 2018). Kinome-wide surveys place CDK20 alongside the atypical CDKs 10 and 11 on the CMGC/CDK cluster (Chowdhury et al., 2023; Lim &amp; Kaldis, 2013). Orthologues are found across a wide taxonomic range, including Mus musculus (Cdk20), Danio rerio (ccrk), Caenorhabditis elegans (DYF-5), Drosophila melanogaster (CG14964), Chlamydomonas reinhardtii (LF2/LF4) and Leishmania mexicana (LmxMPK9) (Chowdhury et al., 2023; Fu et al., 2019; Lim &amp; Kaldis,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⇄ ADP + [protein]-O-phospho-Ser/Thr (Fu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a divalent metal ion, typically Mg²⁺, to coordinate ATP in the active site (Wood &amp; Endicott,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Peptide-library profiling defined a preferred motif R-P-X-S/T-P/A/S/T with an obligatory Arg at −3 and Pro at −2; Pro at +1 is not essential (Fu et al., 2019). Confirmed cellular substrates are CDK2 Thr160 (Malumbres, 2014), ICK/MRK Thr157 (Fu et al., 2006) and KIF3A at an RPXS motif (Fu et al., 2019). A kinome-wide specificity atlas entry for CDK20 has not yet been reported (Chen et al.,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bilobal kinase domain (~residues 1–300) followed by an intrinsically disordered C-terminal segment that mediates substrate docking and sub-cellular localisation (Fu et al., 2019). An AlphaFold model (AF-Q8IZL9-F1) predicts a canonical CDK fold with a conserved β-sheet N-lobe, α-helical C-lobe and an ordered activation loop (Wood &amp; Endicott, 2018). Key catalytic features include the β3 lysine that pairs with the αC glutamate to stabilise ATP, phosphorylation-dependent ordering of the activation-loop Thr157, and a PKKRP segment centred on Arg272 that is critical for the active conformation (Fu et al., 2019; Wood &amp; Endicott,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Thr157 is phosphorylated by an upstream CDK-activating kinase (Fu et al., 2019).</w:t>
      </w:r>
      <w:r>
        <w:br/>
      </w:r>
      <w:r>
        <w:t xml:space="preserve">• CCRK can autophosphorylate a Tyr residue within the ICK activation motif when acting upstream of ICK (Fu et al., 2006).</w:t>
      </w:r>
      <w:r>
        <w:br/>
      </w:r>
      <w:r>
        <w:t xml:space="preserve">• Binds cyclin H for activation, consistent with other transcription-associated CDKs (Malumbres, 2014).</w:t>
      </w:r>
      <w:r>
        <w:br/>
      </w:r>
      <w:r>
        <w:t xml:space="preserve">• Stabilised by the BRO/Broadminded protein (Snouffer et al., 2017).</w:t>
      </w:r>
      <w:r>
        <w:br/>
      </w:r>
      <w:r>
        <w:t xml:space="preserve">• Transcriptionally up-regulated as a direct androgen-receptor target and frequently amplified or promoter-demethylated in multiple tumour types (Chen et al., 2022; Malumbres,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Ciliogenesis &amp; Hedgehog signalling – Coordinates ciliary membrane and axoneme assembly with TBC1D32, limits cilium length and promotes import of Gli2 and Smoothened, enabling robust Shh/GLI2 signalling in the neural tube (Fu et al., 2019; Snouffer et al., 2017).</w:t>
      </w:r>
      <w:r>
        <w:br/>
      </w:r>
      <w:r>
        <w:t xml:space="preserve">• Cell-cycle control – Acts as a CDK-activating kinase for CDK2 by phosphorylating Thr160, supporting G1/S transition (Malumbres, 2014).</w:t>
      </w:r>
      <w:r>
        <w:br/>
      </w:r>
      <w:r>
        <w:t xml:space="preserve">• Additional signalling – Phosphorylation of ICK and KIF3A links CCRK to autophagy and mTORC1 pathways (Fu et al., 2019).</w:t>
      </w:r>
      <w:r>
        <w:br/>
      </w:r>
      <w:r>
        <w:t xml:space="preserve">• Expression pattern – Enriched in proliferative zones such as intestinal crypt epithelium and regenerating tissues (Fu et al., 2019).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mutations, particularly within the PKKRP motif, give rise to ciliopathy phenotypes (e.g., ECO syndrome) and epilepsy (Fu et al., 2019). Oncogenic activities include β-catenin/TCF-driven hepatocarcinogenesis and cilium-dependent glioblastoma proliferation (Malumbres, 2014). High CDK20 expression correlates with resistance to several anti-cancer drugs in pan-cancer datasets (Chen et al., 2022).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Chen, X., et al. (2022). Integrative multi-omics analysis reveals the landscape of Cyclin-Dependent Kinase (CDK) family genes in pan-cancer.</w:t>
      </w:r>
    </w:p>
    <w:p>
      <w:pPr>
        <w:pStyle w:val="BodyText"/>
      </w:pPr>
      <w:r>
        <w:t xml:space="preserve">Chowdhury, I., Dashi, G., &amp; Keskitalo, S. (2023). Cmgc kinases in health and cancer. Cancers, 15, 3838. https://doi.org/10.3390/cancers15153838</w:t>
      </w:r>
    </w:p>
    <w:p>
      <w:pPr>
        <w:pStyle w:val="BodyText"/>
      </w:pPr>
      <w:r>
        <w:t xml:space="preserve">Fu, Z., Gailey, C. D., Wang, E. J., &amp; Brautigan, D. L. (2019). Ciliogenesis associated kinase 1: Targets and functions in various organ systems. FEBS Letters. https://doi.org/10.1002/1873-3468.13600</w:t>
      </w:r>
    </w:p>
    <w:p>
      <w:pPr>
        <w:pStyle w:val="BodyText"/>
      </w:pPr>
      <w:r>
        <w:t xml:space="preserve">Fu, Z., Larson, K. A., Chitta, R. K., Parker, S. A., Turk, B. E., Lawrence, M. W., … Sturgill, T. W. (2006). Identification of yin-yang regulators and a phosphorylation consensus for male germ cell-associated kinase (MAK)-related kinase. Molecular and Cellular Biology, 26, 8639–8654. https://doi.org/10.1128/MCB.00816-06</w:t>
      </w:r>
    </w:p>
    <w:p>
      <w:pPr>
        <w:pStyle w:val="BodyText"/>
      </w:pPr>
      <w:r>
        <w:t xml:space="preserve">Lim, S., &amp; Kaldis, P. (2013). Cdks, cyclins and ckis: Roles beyond cell cycle regulation. Development, 140, 3079–3093. https://doi.org/10.1242/dev.091744</w:t>
      </w:r>
    </w:p>
    <w:p>
      <w:pPr>
        <w:pStyle w:val="BodyText"/>
      </w:pPr>
      <w:r>
        <w:t xml:space="preserve">Malumbres, M. (2014). Cyclin-dependent kinases. Genome Biology, 15, 122. https://doi.org/10.1186/gb4184</w:t>
      </w:r>
    </w:p>
    <w:p>
      <w:pPr>
        <w:pStyle w:val="BodyText"/>
      </w:pPr>
      <w:r>
        <w:t xml:space="preserve">Snouffer, A., Brown, D. A., Lee, H., Walsh, J. D., Lupu, F., Norman, R. X., … Eggenschwiler, J. (2017). Cell cycle-related kinase (CCRK) regulates ciliogenesis and hedgehog signaling in mice. PLoS Genetics. https://doi.org/10.1371/journal.pgen.1006912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Biology. https://doi.org/10.1098/rsob.180112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2025-07-03T23:37:54Z</dcterms:created>
  <dcterms:modified xsi:type="dcterms:W3CDTF">2025-07-03T23:37:54Z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