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CAMKV (Q8NCB2) belongs to the Ca²⁺/calmodulin-dependent protein kinase (CAMK) group of the human serine/threonine kinome (Manning et al., 2002; Johnson et al., 2023; Simon et al., 2015). It is regarded as an atypical CAMK that has diverged from canonical CAMK1/2 members (Yu et al., 2024). Conservation of key Lys/Arg residues within its calmodulin-binding domain and the presence of orthologues from yeast to humans further support its evolutionary placement (Manning et al., 2002; Yu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(Yu et al., 2024).</w:t>
      </w:r>
      <w:r>
        <w:br/>
      </w:r>
      <w:r>
        <w:t xml:space="preserve">(Note: Several studies report absent or very low intrinsic catalytic activity, describing CAMKV as a pseudokinase; others detect kinase activity in specific settings.)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Initial activation requires binding of Ca²⁺/calmodulin to a C-terminal calmodulin-binding domain; calmodulin is dispensable once activity is initiated (Yu et al., 2024).</w:t>
      </w:r>
      <w:r>
        <w:br/>
      </w:r>
      <w:r>
        <w:t xml:space="preserve">• A canonical DFG motif that normally coordinates Mg²⁺ is altered, potentially impairing Mg²⁺ binding in the inactive/pseudokinase state (Yu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phosphorylation motif has been defined. Experimentally identified substrates include:</w:t>
      </w:r>
      <w:r>
        <w:br/>
      </w:r>
      <w:r>
        <w:t xml:space="preserve">– CREB Ser133 (Yu et al., 2024)</w:t>
      </w:r>
      <w:r>
        <w:br/>
      </w:r>
      <w:r>
        <w:t xml:space="preserve">– GATA2 Ser182/Ser192 (Yu et al., 2024)</w:t>
      </w:r>
      <w:r>
        <w:br/>
      </w:r>
      <w:r>
        <w:t xml:space="preserve">Phosphoproteomics also links CAMKV to regulation of STK10 and RIOK1 phosphorylation (Yu et al., 2024). Clustering by motif selectivity places CAMKV within the broader CAMK group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CAMKV contains an N-terminal kinase-like domain and an intrinsically disordered ~200-residue C-terminal region that harbours a calmodulin-binding domain and seven tandem octapeptide repeats (D-X-X-X-T-P-A-T) critical for protein stability (Rozen et al., 2024). AlphaFold2 predicts a conventional bilobal kinase fold despite conflicting reports on catalytic competence (Yu et al., 2024).</w:t>
      </w:r>
      <w:r>
        <w:br/>
      </w:r>
      <w:r>
        <w:t xml:space="preserve">Key residues/features:</w:t>
      </w:r>
      <w:r>
        <w:br/>
      </w:r>
      <w:r>
        <w:t xml:space="preserve">– Lys53 essential for ATP binding in active models (Yu et al., 2024)</w:t>
      </w:r>
      <w:r>
        <w:br/>
      </w:r>
      <w:r>
        <w:t xml:space="preserve">– Thr183 autophosphorylation site required for activation (Yu et al., 2024)</w:t>
      </w:r>
      <w:r>
        <w:br/>
      </w:r>
      <w:r>
        <w:t xml:space="preserve">– Altered DFG motif, mis-positioned C-helix and locked activation loop cited as causes of pseudokinase behaviour (Rozen et al., 2024; Yu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</w:t>
      </w:r>
      <w:r>
        <w:br/>
      </w:r>
      <w:r>
        <w:t xml:space="preserve">– DYRK3 directly phosphorylates CAMKV at Thr387 and Thr427 within the C-terminal repeats, controlling liquid–liquid phase separation (Rozen et al., 2024).</w:t>
      </w:r>
      <w:r>
        <w:br/>
      </w:r>
      <w:r>
        <w:t xml:space="preserve">– Autophosphorylation on Thr183 activates CAMKV; T183E is constitutively active (Yu et al., 2024).</w:t>
      </w:r>
    </w:p>
    <w:p>
      <w:pPr>
        <w:pStyle w:val="BodyText"/>
      </w:pPr>
      <w:r>
        <w:t xml:space="preserve">• Allosteric/conformational control:</w:t>
      </w:r>
      <w:r>
        <w:br/>
      </w:r>
      <w:r>
        <w:t xml:space="preserve">– Calmodulin binding is required for initial activation (Yu et al., 2024).</w:t>
      </w:r>
      <w:r>
        <w:br/>
      </w:r>
      <w:r>
        <w:t xml:space="preserve">– The C-terminal tail exerts autoinhibition; a splice isoform lacking 31 C-terminal residues (CAMKV-S) is more active than full-length CAMKV (Yu et al., 2024).</w:t>
      </w:r>
    </w:p>
    <w:p>
      <w:pPr>
        <w:pStyle w:val="BodyText"/>
      </w:pPr>
      <w:r>
        <w:t xml:space="preserve">• Protein stability:</w:t>
      </w:r>
      <w:r>
        <w:br/>
      </w:r>
      <w:r>
        <w:t xml:space="preserve">– Seven tandem octapeptide repeats are necessary for steady-state expression (Rozen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Expression/Localization: Highly expressed in neuroblastoma cells, embryonic neuroblasts and brain tissue (Rozen et al., 2023; Yu et al., 2024). Predominantly cytosolic; localizes to the mitotic spindle during division and forms aggregates when DYRK3 is inhibited (Rozen et al., 2023).</w:t>
      </w:r>
    </w:p>
    <w:p>
      <w:pPr>
        <w:pStyle w:val="BodyText"/>
      </w:pPr>
      <w:r>
        <w:t xml:space="preserve">Signaling roles:</w:t>
      </w:r>
      <w:r>
        <w:br/>
      </w:r>
      <w:r>
        <w:t xml:space="preserve">– Direct transcriptional target of MYCN/MYC oncogenes (Yu et al., 2024).</w:t>
      </w:r>
      <w:r>
        <w:br/>
      </w:r>
      <w:r>
        <w:t xml:space="preserve">– In neuroblastoma, the DYRK3–CAMKV module regulates mitotic spindle dynamics and tumour cell proliferation (Rozen et al., 2023).</w:t>
      </w:r>
      <w:r>
        <w:br/>
      </w:r>
      <w:r>
        <w:t xml:space="preserve">– CAMKV phosphorylates CREB Ser133 and GATA2 Ser182/192, promoting proliferation (Yu et al., 2024).</w:t>
      </w:r>
      <w:r>
        <w:br/>
      </w:r>
      <w:r>
        <w:t xml:space="preserve">– Knockdown reduces proliferation and alters genes linked to neuronal function, translation and apoptosis (Yu et al., 2024).</w:t>
      </w:r>
      <w:r>
        <w:br/>
      </w:r>
      <w:r>
        <w:t xml:space="preserve">– Additional roles in dendritic spine maintenance and activity-dependent bulk endocytosis have been reported (Yu et al., 2024).</w:t>
      </w:r>
    </w:p>
    <w:p>
      <w:pPr>
        <w:pStyle w:val="BodyText"/>
      </w:pPr>
      <w:r>
        <w:t xml:space="preserve">Interacting partners: DYRK3 (upstream kinase) and CREB (substrate) interact directly with CAMKV (Rozen et al., 2023; Yu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compounds, including K-252a and OTSSP167, dock into the CAMKV ATP-binding pocket and suppress neuroblastoma xenograft growth (Yu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High CAMKV expression correlates with advanced stage, high-risk disease and poor survival in neuroblastoma, and serves as a prognostic biomarker in endometrial carcinoma (Rozen et al., 2023; Yu et al., 2024). Two splice isoforms exist: full-length (501 aa) and CAMKV-S (Δ31 C-terminal aa), the latter displaying higher kinase activity and pro-proliferative capacity (Yu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Rozen, E. J., Wigglesworth, K., &amp; Shohet, J. M. (2023). A novel druggable DYRK3/CAMKV signaling module for neuroblastoma tumor growth inhibition. bioRxiv. https://doi.org/10.1101/2023.11.30.569438</w:t>
      </w:r>
    </w:p>
    <w:p>
      <w:pPr>
        <w:pStyle w:val="BodyText"/>
      </w:pPr>
      <w:r>
        <w:t xml:space="preserve">Rozen, E. J., Wigglesworth, K., &amp; Shohet, J. M. (2024). A novel druggable dual-specificity tyrosine-regulated kinase3/calmodulin kinase-like vesicle-associated signaling module with therapeutic implications in neuroblastoma. Biomedicines, 12(1), 197. https://doi.org/10.3390/biomedicines12010197</w:t>
      </w:r>
    </w:p>
    <w:p>
      <w:pPr>
        <w:pStyle w:val="BodyText"/>
      </w:pPr>
      <w:r>
        <w:t xml:space="preserve">Simon, B., Huart, A.-S., &amp; Wilmanns, M. (2015). Molecular mechanisms of protein kinase regulation by calcium/calmodulin. Bioorganic &amp; Medicinal Chemistry, 23(12), 2749–2760. https://doi.org/10.1016/j.bmc.2015.04.051</w:t>
      </w:r>
    </w:p>
    <w:p>
      <w:pPr>
        <w:pStyle w:val="BodyText"/>
      </w:pPr>
      <w:r>
        <w:t xml:space="preserve">Yu, Y., Zhao, Y., Shi, Z., Cheng, F., Wang, L. L., Choi, J. M., … Yang, J. (2024). CAMKV kinase signaling is a novel therapeutic avenue with prognostic relevance in neuroblastoma. bioRxiv. https://doi.org/10.1101/2024.02.19.581040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2025-07-03T23:48:57Z</dcterms:created>
  <dcterms:modified xsi:type="dcterms:W3CDTF">2025-07-03T23:48:57Z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