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Identified as a human pseudokinase in a systematic nucleotide-binding screen (Murphy et al., 2014).</w:t>
      </w:r>
      <w:r>
        <w:br/>
      </w:r>
      <w:r>
        <w:t xml:space="preserve">• Not placed in any established kinase group or family in the original human kinome census (Manning et al., 2002).</w:t>
      </w:r>
      <w:r>
        <w:br/>
      </w:r>
      <w:r>
        <w:t xml:space="preserve">• No experimentally validated orthologs or evolutionary relationships have been reported in subsequent kinome resources (Gomez et al., 2024).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No ATP-dependent phosphotransfer activity has been detected; a catalytic reaction has not been demonstrated (Murphy et al., 2014).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No data on divalent-cation or other cofactor dependence are available (Murphy et al., 2014).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Absent from kinome-wide substrate-profiling datasets; no consensus phosphorylation motif has been defined (Gomez et al., 2024; Sugiyama et al., 2019).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Sequence predicts a single kinase-like domain with no additional annotated modules (Gomez et al., 2024).</w:t>
      </w:r>
      <w:r>
        <w:br/>
      </w:r>
      <w:r>
        <w:t xml:space="preserve">• AlphaFold modelling yields a canonical bilobal protein-kinase fold; no experimental structure is available (Gomez et al., 2024).</w:t>
      </w:r>
      <w:r>
        <w:br/>
      </w:r>
      <w:r>
        <w:t xml:space="preserve">• Canonical catalytic motifs (VAIK, HRD, DFG) appear degenerate, consistent with pseudokinase status, although specific residue substitutions have not been detailed (Boudeau et al., 2006).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No post-translational modifications, modifying enzymes, or allosteric regulatory mechanisms have been documented (Gomez et al., 2024).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Reviewed sources provide no tissue- or cell-specific expression information (Gomez et al., 2024).</w:t>
      </w:r>
      <w:r>
        <w:br/>
      </w:r>
      <w:r>
        <w:t xml:space="preserve">• No upstream regulators, downstream substrates, interacting partners, or pathway assignments have been reported (Gomez et al., 2024).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Proteogenomic surveys list STKLD1 among dysregulated kinases in certain cancer subtypes, but no mutation spectrum or mechanistic insight is available (Gomez et al., 2024).</w:t>
      </w:r>
    </w:p>
    <w:bookmarkEnd w:id="16"/>
    <w:bookmarkStart w:id="17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Boudeau, J., Miranda-Saavedra, D., Barton, G. J., &amp; Alessi, D. R. (2006). Emerging roles of pseudokinases. Trends in Cell Biology, 16, 443–452. https://doi.org/10.1016/j.tcb.2006.07.003</w:t>
      </w:r>
    </w:p>
    <w:p>
      <w:pPr>
        <w:pStyle w:val="BodyText"/>
      </w:pPr>
      <w:r>
        <w:t xml:space="preserve">Gomez, S. M., Axtman, A. D., Willson, T. M., Major, M. B., Townsend, R. R., Sorger, P. K., &amp; Johnson, G. L. (2024). Illuminating function of the understudied druggable kinome. Drug Discovery Today, 29, 103881. https://doi.org/10.1016/j.drudis.2024.103881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298, 1912–1934. https://doi.org/10.1126/science.1075762</w:t>
      </w:r>
    </w:p>
    <w:p>
      <w:pPr>
        <w:pStyle w:val="BodyText"/>
      </w:pPr>
      <w:r>
        <w:t xml:space="preserve">Murphy, J. M., Zhang, Q., Young, S. N., Reese, M. L., Bailey, F. P., Eyers, P. A., … Lucet, I. S. (2014). A robust methodology to subclassify pseudokinases based on their nucleotide-binding properties. Biochemical Journal, 457(2), 323–334. https://doi.org/10.1042/BJ20131174</w:t>
      </w:r>
    </w:p>
    <w:p>
      <w:pPr>
        <w:pStyle w:val="BodyText"/>
      </w:pPr>
      <w:r>
        <w:t xml:space="preserve">Sugiyama, N., Imamura, H., &amp; Ishihama, Y. (2019). Large-scale discovery of substrates of the human kinome. Scientific Reports. https://doi.org/10.1038/s41598-019-46385-4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2025-07-03T21:19:37Z</dcterms:created>
  <dcterms:modified xsi:type="dcterms:W3CDTF">2025-07-03T21:19:37Z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