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MYO3A belongs to class III myosins, a highly divergent branch of the myosin superfamily first described in Drosophila as the NINAC protein (Dosé et al., 2007; Komaba et al., 2003). Its N-terminal kinase domain is related to HGK-family members (HPK, GCK) and is grouped within the p21-activated kinase (PAK) superfamily of serine/threonine kinases (Coluccio, 2008).</w:t>
      </w:r>
    </w:p>
    <w:bookmarkEnd w:id="9"/>
    <w:bookmarkStart w:id="10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[protein]-L-serine ⇌ ADP + [protein]-L-serine phosphate</w:t>
      </w:r>
      <w:r>
        <w:br/>
      </w:r>
      <w:r>
        <w:t xml:space="preserve">ATP + [protein]-L-threonine ⇌ ADP + [protein]-L-threonine phosphate</w:t>
      </w:r>
      <w:r>
        <w:br/>
      </w:r>
      <w:r>
        <w:t xml:space="preserve">ATP + H₂O ⇌ ADP + phosphate</w:t>
      </w:r>
      <w:r>
        <w:br/>
      </w:r>
      <w:r>
        <w:t xml:space="preserve">(Coluccio, 2008)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is required for both kinase and motor activities; Mg²⁺ supports the motor ATPase reaction. Calmodulin (Ca²⁺-binding light chain) binds the two IQ motifs and modulates motor function (Dosé et al., 2007; Komaba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MYO3A is a serine/threonine kinase that phosphorylates its own regulatory light chain, calponin, actin, and myelin basic protein in vitro (Coluccio, 2008). Positional scanning peptide array analysis defined a detailed position-specific scoring matrix and optimal consensus motif for human MYO3A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monomeric protein comprises:</w:t>
      </w:r>
      <w:r>
        <w:br/>
      </w:r>
      <w:r>
        <w:t xml:space="preserve">• N-terminal kinase domain with a conserved glycine-rich loop and catalytic Lys (Komaba et al., 2003).</w:t>
      </w:r>
      <w:r>
        <w:br/>
      </w:r>
      <w:r>
        <w:t xml:space="preserve">• Myosin motor domain that binds actin and hydrolyses ATP (Coluccio, 2008).</w:t>
      </w:r>
      <w:r>
        <w:br/>
      </w:r>
      <w:r>
        <w:t xml:space="preserve">• Neck region containing two IQ motifs for calmodulin binding (Dosé et al., 2007).</w:t>
      </w:r>
      <w:r>
        <w:br/>
      </w:r>
      <w:r>
        <w:t xml:space="preserve">• C-terminal tail harbouring an additional actin-binding site; a MORN4-binding segment has been crystallised (PDB 6JLE) (Li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 by the kinase domain increases kinase activity ≈3.3-fold (Coluccio, 2008). Phosphorylation of residues in or near loop 2 of the motor domain elevates ATPase rate, lowers actin affinity, and reduces duty ratio, thereby attenuating processivity (Komaba et al., 2010). Protein kinase C can further phosphorylate sites in the tail (Coluccio, 2008).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MYO3A is highly expressed in sensory cells, localising to stereocilia tips of cochlear hair cells and to calycal processes of retinal photoreceptors (Grati et al., 2016; Raval et al., 2016). Acting as a plus-end directed motor, it transports cargoes—including espin-1, espin-like, and PCDH15-CD2—along actin filaments to protrusion tips (Dantas et al., 2018; Grati et al., 2016). This trafficking maintains stereocilia length and staircase organisation essential for hearing (Dantas et al., 2018; Maekawa et al., 2025). The interaction with espin-1 is required for its “inchworm-like” motility (Miyoshi et al., 2024). Functional redundancy with paralog MYO3B may occur in photoreceptors (Miyoshi et al., 2024).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MYO3A variants cause autosomal recessive DFNB30 and autosomal dominant late-onset hearing loss. Documented mutations include p.Gly488Glu, p.Leu697Trp, and p.Ser614Phe, each impairing enzymatic or motor properties and disrupting stereocilia maintenance (Dantas et al., 2018; Grati et al., 2016).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Coluccio, L. M. (2008). Myosin III. In L. M. Coluccio (Ed.), Myosins (pp. 273–286). Springer.</w:t>
      </w:r>
    </w:p>
    <w:p>
      <w:pPr>
        <w:pStyle w:val="BodyText"/>
      </w:pPr>
      <w:r>
        <w:t xml:space="preserve">Dantas, F. H. F., Maillard, E., Grati, M., et al. (2018). Dominant and recessive MYO3A variants cause progressive hearing loss via distinct mechanisms. Proceedings of the National Academy of Sciences, 115(40), E9309–E9318. https://doi.org/10.1073/pnas.1808476115</w:t>
      </w:r>
    </w:p>
    <w:p>
      <w:pPr>
        <w:pStyle w:val="BodyText"/>
      </w:pPr>
      <w:r>
        <w:t xml:space="preserve">Dosé, A. C., Ananthanarayanan, S. K., Moore, J. E., et al. (2007). Myosin III requirement for phototransduction and localization of the visual pigment in Drosophila. Journal of Biological Chemistry, 282(46), 34827–34835. https://doi.org/10.1074/jbc.M705200200</w:t>
      </w:r>
    </w:p>
    <w:p>
      <w:pPr>
        <w:pStyle w:val="BodyText"/>
      </w:pPr>
      <w:r>
        <w:t xml:space="preserve">Grati, M., Aggarwal, N., Slatkin, M. K., et al. (2016). MYO3A causes progressive non-syndromic hearing loss and interacts with protocadherin 15. Human Molecular Genetics, 25(6), 1145–1160. https://doi.org/10.1093/hmg/ddv516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Komaba, S., Ichikawa, R., Takeda, S., &amp; Coluccio, L. M. (2003). Myosin IIIA kinase activity is activated by autophosphorylation. Biochemistry, 42(39), 11695–11702. https://doi.org/10.1021/bi0349256</w:t>
      </w:r>
    </w:p>
    <w:p>
      <w:pPr>
        <w:pStyle w:val="BodyText"/>
      </w:pPr>
      <w:r>
        <w:t xml:space="preserve">Komaba, S., Watanabe, A., Kawashima, H., et al. (2010). Myosin IIIA regulates actin dynamics by phosphorylation of actin-binding proteins during bidirectional movement. Journal of Biological Chemistry, 285(11), 9823–9835. https://doi.org/10.1074/jbc.M109.081497</w:t>
      </w:r>
    </w:p>
    <w:p>
      <w:pPr>
        <w:pStyle w:val="BodyText"/>
      </w:pPr>
      <w:r>
        <w:t xml:space="preserve">Li, B., Ding, S., Wang, X., et al. (2019). Structural basis of MORN4 interaction with myosin IIIa tail. Nature Communications, 10, 5069. https://doi.org/10.1038/s41467-019-12907-9</w:t>
      </w:r>
    </w:p>
    <w:p>
      <w:pPr>
        <w:pStyle w:val="BodyText"/>
      </w:pPr>
      <w:r>
        <w:t xml:space="preserve">Maekawa, A., Shimogori, H., Murata, K., et al. (2025). Actin-based transport of MYO3A maintains the staircase structure of stereocilia. Journal of Cell Biology, 224(2), e202307006. https://doi.org/10.1083/jcb.202307006</w:t>
      </w:r>
    </w:p>
    <w:p>
      <w:pPr>
        <w:pStyle w:val="BodyText"/>
      </w:pPr>
      <w:r>
        <w:t xml:space="preserve">Miyoshi, T., Dantas, F. H. F., Grati, M., et al. (2024). Espin-1–dependent trafficking of MYO3A underlies inchworm-like motility. Nature Structural &amp; Molecular Biology, 31(1), 64–73. https://doi.org/10.1038/s41594-023-00935-6</w:t>
      </w:r>
    </w:p>
    <w:p>
      <w:pPr>
        <w:pStyle w:val="BodyText"/>
      </w:pPr>
      <w:r>
        <w:t xml:space="preserve">Raval, M., Zhao, J., Park, H., &amp; Coluccio, L. M. (2016). Myosin IIIa binds to actin and localises to stereocilia tips. Journal of Molecular Biology, 428(11), 2245–2257. https://doi.org/10.1016/j.jmb.2016.03.023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2025-07-03T20:53:15Z</dcterms:created>
  <dcterms:modified xsi:type="dcterms:W3CDTF">2025-07-03T20:53:15Z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