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PI4K2B is a type II phosphatidylinositol-4-kinase that forms an evolutionarily distinct branch from type III PI4Ks and PI3Ks (Burke et al., 2023, pp. 14–15). Orthologues are retained throughout Metazoa, whereas yeast carries a single ancestral type II enzyme (Saccharomyces cerevisiae Lsb6). The vertebrate paralogues PI4K2A and PI4K2B arose from a gene-duplication event after the fungal/animal split (Unknown authors, 2017, pp. 39–43).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phosphatidyl-D-myo-inositol + ATP ⇌ phosphatidyl-D-myo-inositol 4-phosphate + ADP + H⁺ (Bura et al., 2023, pp. 16–17; Unknown authors, 2017, pp. 39–43).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Mg²⁺ for catalytic turnover (Burke et al., 2023, pp. 26–27; Bura et al., 2023, pp. 18–20).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Functions as a lipid kinase that selectively phosphorylates phosphatidylinositol; no peptide consensus motif has been detected (Unknown authors, 2017, pp. 39–43; Bura et al., 2023, pp. 18–20).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layout: acidic N-terminal segment (~1–90) followed by a bilobal kinase core (90–450) containing a cysteine-rich palmitoylation insert essential for membrane anchoring (Unknown authors, 2017, pp. 48–52).</w:t>
      </w:r>
      <w:r>
        <w:br/>
      </w:r>
      <w:r>
        <w:t xml:space="preserve">• 3D data: 1.9 Å crystal structure of residues 90–450 shows the canonical N-lobe/C-lobe arrangement with a membrane-proximal substrate pocket (Unknown authors, 2017, pp. 48–52; Bura et al., 2023, pp. 5–7).</w:t>
      </w:r>
      <w:r>
        <w:br/>
      </w:r>
      <w:r>
        <w:t xml:space="preserve">• Regulatory surface: N-terminal proline-rich stretch harbours an AP-1 adaptor binding site absent from PI4K2A (Bura et al., 2023, pp. 5–7).</w:t>
      </w:r>
      <w:r>
        <w:br/>
      </w:r>
      <w:r>
        <w:t xml:space="preserve">• Active site characteristics: wortmannin-insensitive; adenosine binds competitively in the ATP pocket (Unknown authors, 2017, pp. 48–52).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– Palmitoylation of the cysteine-rich insert anchors the kinase to Golgi, endosomal and plasma membranes; loss abolishes activity (Unknown authors, 2017, pp. 48–52).</w:t>
      </w:r>
      <w:r>
        <w:br/>
      </w:r>
      <w:r>
        <w:t xml:space="preserve">– Lipopolysaccharide elevates palmitoylation and boosts cytokine output (Bura et al., 2023, pp. 5–7).</w:t>
      </w:r>
      <w:r>
        <w:br/>
      </w:r>
      <w:r>
        <w:t xml:space="preserve">– PKD-dependent phosphorylation within a serine-rich segment modulates localisation and activity (Bura et al., 2023, pp. 18–20).</w:t>
      </w:r>
      <w:r>
        <w:br/>
      </w:r>
      <w:r>
        <w:t xml:space="preserve">– AMPK-linked phosphorylation events reported across the type II family extend to PI4K2B (Burke et al., 2023, pp. 26–27).</w:t>
      </w:r>
    </w:p>
    <w:p>
      <w:pPr>
        <w:pStyle w:val="BodyText"/>
      </w:pPr>
      <w:r>
        <w:t xml:space="preserve">Protein interactions</w:t>
      </w:r>
      <w:r>
        <w:br/>
      </w:r>
      <w:r>
        <w:t xml:space="preserve">– Hsp90 stabilises the non-palmitoylated cytosolic pool (Bura et al., 2023, pp. 5–7).</w:t>
      </w:r>
      <w:r>
        <w:br/>
      </w:r>
      <w:r>
        <w:t xml:space="preserve">– Rac1-GTP recruits and activates PI4K2B at the plasma membrane following PDGF stimulation (Bura et al., 2023, pp. 5–7).</w:t>
      </w:r>
    </w:p>
    <w:p>
      <w:pPr>
        <w:pStyle w:val="BodyText"/>
      </w:pPr>
      <w:r>
        <w:t xml:space="preserve">Chemical modulation</w:t>
      </w:r>
      <w:r>
        <w:br/>
      </w:r>
      <w:r>
        <w:t xml:space="preserve">– Micromolar adenosine acts as a competitive inhibitor; the enzyme is resistant to wortmannin (Unknown authors, 2017, pp. 48–52).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and localisation</w:t>
      </w:r>
      <w:r>
        <w:br/>
      </w:r>
      <w:r>
        <w:t xml:space="preserve">mRNA is ubiquitous, highest in liver and lower in brain (Sasaki et al., 2009, pp. 9–10). The protein is mainly cytosolic at rest and relocalises to plasma membrane, trans-Golgi network, endoplasmic reticulum, clathrin-coated vesicles and diverse endosomal sub-compartments upon stimulation (Bura et al., 2023, pp. 5–7).</w:t>
      </w:r>
    </w:p>
    <w:p>
      <w:pPr>
        <w:pStyle w:val="BodyText"/>
      </w:pPr>
      <w:r>
        <w:t xml:space="preserve">Cellular roles</w:t>
      </w:r>
      <w:r>
        <w:br/>
      </w:r>
      <w:r>
        <w:t xml:space="preserve">– Generates PI4P on TGN and endosomes to drive AP-1–dependent cargo sorting, including β-glucocerebrosidase trafficking (Bura et al., 2023, pp. 5–7; Unknown authors, 2017, pp. 31–35).</w:t>
      </w:r>
      <w:r>
        <w:br/>
      </w:r>
      <w:r>
        <w:t xml:space="preserve">– Facilitates vesicle exit from the Golgi and endosomal maturation/fusion (Bura et al., 2023, pp. 16–17).</w:t>
      </w:r>
      <w:r>
        <w:br/>
      </w:r>
      <w:r>
        <w:t xml:space="preserve">– Suppresses invadopodia formation and metastatic behaviour by regulating the actin cytoskeleton (Bura et al., 2023, pp. 16–17).</w:t>
      </w:r>
      <w:r>
        <w:br/>
      </w:r>
      <w:r>
        <w:t xml:space="preserve">– Maintains lysosomal tubule networks crucial for clearance of misfolded proteins and tumour cell survival (Bura et al., 2023, pp. 16–17).</w:t>
      </w:r>
      <w:r>
        <w:br/>
      </w:r>
      <w:r>
        <w:t xml:space="preserve">– Supports recycling of Frizzled receptors to sustain canonical Wnt signalling (Unknown authors, 2017, pp. 31–35).</w:t>
      </w:r>
      <w:r>
        <w:br/>
      </w:r>
      <w:r>
        <w:t xml:space="preserve">– Contributes to T-cell receptor signalling and phagosome maturation (Unknown authors, 2017, pp. 57–61; Sasaki et al., 2009, pp. 9–10).</w:t>
      </w:r>
      <w:r>
        <w:br/>
      </w:r>
      <w:r>
        <w:t xml:space="preserve">– Up-regulated during LPS challenge, linking PI4K2B to pro-inflammatory cytokine production (Bura et al., 2023, pp. 5–7).</w:t>
      </w:r>
    </w:p>
    <w:p>
      <w:pPr>
        <w:pStyle w:val="BodyText"/>
      </w:pPr>
      <w:r>
        <w:t xml:space="preserve">Key partners include AP-1, clathrin, PAR-4, Hsp90 and Rac1-GTP (Bura et al., 2023, pp. 5–7; Burke et al., 2023, pp. 26–27).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Adenosine (low-µM IC₅₀, ATP-competitive) (Unknown authors, 2017, pp. 48–52).</w:t>
      </w:r>
      <w:r>
        <w:br/>
      </w:r>
      <w:r>
        <w:t xml:space="preserve">• Resveratrol and epigallocatechin gallate act as non-selective inhibitors (Clayton et al., 2013, pp. 17–19).</w:t>
      </w:r>
      <w:r>
        <w:br/>
      </w:r>
      <w:r>
        <w:t xml:space="preserve">• 4-Aminoquinazoline derivatives provide low-µM, substrate-competitive inhibition (Bura et al., 2023, pp. 16–17; 18–20).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Disease associations</w:t>
      </w:r>
      <w:r>
        <w:br/>
      </w:r>
      <w:r>
        <w:t xml:space="preserve">– Reduced PI4K2B activity promotes tumour invasion/metastasis, while interaction with PAR-4 may counteract apoptosis (Bura et al., 2023, pp. 5–7; 16–17).</w:t>
      </w:r>
      <w:r>
        <w:br/>
      </w:r>
      <w:r>
        <w:t xml:space="preserve">– Interaction with CD81 limits chemotaxis and dissemination in hepatocellular carcinoma models (Unknown authors, 2017, pp. 57–61).</w:t>
      </w:r>
      <w:r>
        <w:br/>
      </w:r>
      <w:r>
        <w:t xml:space="preserve">– Loss of type II PI4Ks selectively compromises cerebellar Purkinje cell survival, indicating neurological vulnerability (Clayton et al., 2013, pp. 17–19).</w:t>
      </w:r>
      <w:r>
        <w:br/>
      </w:r>
      <w:r>
        <w:t xml:space="preserve">– The PI4K2B locus (4p15-p16) shows genetic linkage to schizophrenia and bipolar disorder (Unknown authors, 2017, pp. 57–61).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Bura, A., Čabrijan, S., Đurić, I., Bruketa, T., &amp; Jurak Begonja, A. (2023). A plethora of functions condensed into tiny phospholipids: The story of PI4P and PI(4,5)P₂. Cells, 12, 101411. https://doi.org/10.3390/cells12101411</w:t>
      </w:r>
    </w:p>
    <w:p>
      <w:pPr>
        <w:pStyle w:val="BodyText"/>
      </w:pPr>
      <w:r>
        <w:t xml:space="preserve">Burke, J. E., Triscott, J., Emerling, B. M., &amp; Hammond, G. R. V. (2023). Beyond PI3Ks: Targeting phosphoinositide kinases in disease. Nature Reviews Drug Discovery, 22, 357–386. https://doi.org/10.1038/s41573-022-00582-5</w:t>
      </w:r>
    </w:p>
    <w:p>
      <w:pPr>
        <w:pStyle w:val="BodyText"/>
      </w:pPr>
      <w:r>
        <w:t xml:space="preserve">Clayton, E., Minogue, S., &amp; Waugh, M. (2013). Mammalian phosphatidylinositol 4-kinases as modulators of membrane trafficking and lipid signalling networks. Progress in Lipid Research, 52, 294–304. https://doi.org/10.1016/j.plipres.2013.04.002</w:t>
      </w:r>
    </w:p>
    <w:p>
      <w:pPr>
        <w:pStyle w:val="BodyText"/>
      </w:pPr>
      <w:r>
        <w:t xml:space="preserve">Sasaki, T., Takasuga, S., Sasaki, J., Kofuji, S., Eguchi, S., Yamazaki, M., &amp; Suzuki, A. (2009). Mammalian phosphoinositide kinases and phosphatases. Progress in Lipid Research, 48, 307–343. https://doi.org/10.1016/j.plipres.2009.06.001</w:t>
      </w:r>
    </w:p>
    <w:p>
      <w:pPr>
        <w:pStyle w:val="BodyText"/>
      </w:pPr>
      <w:r>
        <w:t xml:space="preserve">Unknown authors. (2017). The cellular functions of mammalian type II phosphatidylinositol 4-kinases (pp. 31–61). [Reference details not provided].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2025-07-03T19:11:49Z</dcterms:created>
  <dcterms:modified xsi:type="dcterms:W3CDTF">2025-07-03T19:11:49Z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