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Class III myosin kinases are conserved from invertebrates to vertebrates. Vertebrate orthologues include human MYO3A, mouse MYO3B and zebrafish class IIIB paralogues that retain tail- and loop-2 phosphorylation sites (Unknown authors, 2011, pp. 10–12). Invertebrate representatives are Limulus polyphemus Myo3 (LpMYO3) and Drosophila melanogaster ninaC, both preserving the N-terminal kinase fused to a myosin motor (Kempler et al., 2007, pp. 1–2; Komaba et al., 2003, p. 1). Sequence comparison places the kinase domain in the STE20/HGK–GCK branch of the PAK superfamily within the STE group (Coluccio, 2008, pp. 297–300; Quintero et al., 2013, pp. 3–4).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L-serine/threonine ⇌ ADP + protein O-phospho-L-serine/threonine (Coluccio, 2008, pp. 297–300).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Dependence on Mg²⁺ or Mn²⁺ has not been experimentally demonstrated for the MYO3B kinase domain (Quintero et al., 2013, pp. 10–11).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In vitro phosphorylated substrates: myosin regulatory light chain, calponin, actin and myelin basic protein on Ser/Thr residues (Coluccio, 2008, pp. 297–300).</w:t>
      </w:r>
      <w:r>
        <w:br/>
      </w:r>
      <w:r>
        <w:t xml:space="preserve">• Intramolecular autophosphorylation and heterophosphorylation target basic-rich motifs; preferred consensus shows a basic residue at P-3 (Unknown authors, 2011, pp. 8–10).</w:t>
      </w:r>
      <w:r>
        <w:br/>
      </w:r>
      <w:r>
        <w:t xml:space="preserve">• MYO3B was absent from the Johnson 2023 human Ser/Thr kinase specificity atlas (Quintero et al., 2013, pp. 10–11).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 (Komaba et al., 2003, p. 1; Unknown authors, 2018, pp. 37–41; Cirilo et al., 2021, pp. 5–7):</w:t>
      </w:r>
      <w:r>
        <w:br/>
      </w:r>
      <w:r>
        <w:t xml:space="preserve">– N-terminal Ser/Thr kinase domain with a GxGGxxG P-loop and catalytic Lys 41.</w:t>
      </w:r>
      <w:r>
        <w:br/>
      </w:r>
      <w:r>
        <w:t xml:space="preserve">– Central myosin motor domain that drives plus-end actin motility (~0.11 µm s⁻¹).</w:t>
      </w:r>
      <w:r>
        <w:br/>
      </w:r>
      <w:r>
        <w:t xml:space="preserve">– Neck containing two IQ motifs that bind calmodulin.</w:t>
      </w:r>
      <w:r>
        <w:br/>
      </w:r>
      <w:r>
        <w:t xml:space="preserve">– C-terminal tail homology domain I (THDI) that binds espin-1; tail homology domain II is absent.</w:t>
      </w:r>
    </w:p>
    <w:p>
      <w:pPr>
        <w:pStyle w:val="BodyText"/>
      </w:pPr>
      <w:r>
        <w:t xml:space="preserve">3-D architecture: AlphaFold and homology models predict the kinase fold contiguous with the motor domain; no experimental structure is available (Unknown authors, 2018, pp. 41–42; Komaba et al., 2003, pp. 9–10).</w:t>
      </w:r>
    </w:p>
    <w:p>
      <w:pPr>
        <w:pStyle w:val="BodyText"/>
      </w:pPr>
      <w:r>
        <w:t xml:space="preserve">Catalytic/regulatory residues (Quintero et al., 2013, pp. 3–4; Unknown authors, 2011, pp. 8–12):</w:t>
      </w:r>
      <w:r>
        <w:br/>
      </w:r>
      <w:r>
        <w:t xml:space="preserve">Thr178 in the activation loop (required for full activity); Ser887 and Thr935 in motor loop 2; tail site Thr1263 within THDI.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at Thr178, Ser887, Thr935, Ser1120 and Thr1263 increases kinase activity ~3.3-fold (Coluccio, 2008, pp. 297–300; Unknown authors, 2011, pp. 8–12).</w:t>
      </w:r>
      <w:r>
        <w:br/>
      </w:r>
      <w:r>
        <w:t xml:space="preserve">• Activation-loop phosphorylation of Thr178 is obligatory for catalytic competence and correct localisation (Quintero et al., 2013, pp. 10–11).</w:t>
      </w:r>
      <w:r>
        <w:br/>
      </w:r>
      <w:r>
        <w:t xml:space="preserve">• Ca²⁺-bound calmodulin partially dissociates from the IQ motifs, lowering motor ATPase activity and increasing actin affinity (Unknown authors, 2018, pp. 37–41).</w:t>
      </w:r>
      <w:r>
        <w:br/>
      </w:r>
      <w:r>
        <w:t xml:space="preserve">• In the Limulus orthologue, loop 2 residues are phosphorylated by PKA, indicating potential cross-talk with cAMP signalling (Kempler et al., 2007, pp. 1–2).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Highest in cochlear and vestibular hair cells and photoreceptor calyceal processes, with additional expression in retina, brain, testes and gastrointestinal tract (Unknown authors, 2018, pp. 7–12; Cirilo et al., 2021, pp. 5–7).</w:t>
      </w:r>
    </w:p>
    <w:p>
      <w:pPr>
        <w:pStyle w:val="BodyText"/>
      </w:pPr>
      <w:r>
        <w:t xml:space="preserve">Cellular roles: Acts as a plus-end-directed actin motor that transports espin-1 to stereocilia tips, regulating stereocilia number, length and staircase architecture and limiting ectopic microvilli during early hair-bundle morphogenesis (Unknown authors, 2018, pp. 12–17, 41–42).</w:t>
      </w:r>
    </w:p>
    <w:p>
      <w:pPr>
        <w:pStyle w:val="BodyText"/>
      </w:pPr>
      <w:r>
        <w:t xml:space="preserve">Interacting partners: Espin-1 (THDI), F-actin (motor domain) and calmodulin (IQ motifs); MORN4 interaction is unconfirmed for MYO3B (Unknown authors, 2018, pp. 12–17; Liu et al., 2016, pp. 14–15).</w:t>
      </w:r>
    </w:p>
    <w:p>
      <w:pPr>
        <w:pStyle w:val="BodyText"/>
      </w:pPr>
      <w:r>
        <w:t xml:space="preserve">Signalling context: Functions as a motor-kinase hybrid integrating mechanical movement with local phosphorylation in actin-rich protrusions (Coluccio, 2008, pp. 297–300).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in paralogous MYO3A cause DFNB30 hearing loss; MYO3B itself is not yet linked to human disease but maps to a region overlapping Bardet–Biedl syndrome loci. Functional redundancy with MYO3A may mask phenotypes; mouse studies indicate a role in cochlear hair-bundle development (Komaba et al., 2003, pp. 1–2; Unknown authors, 2011, pp. 1–2; Unknown authors, 2018, pp. 41–42).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Calcium regulation of Myosin3B. (2018). [Unpublished manuscript].</w:t>
      </w:r>
    </w:p>
    <w:p>
      <w:pPr>
        <w:pStyle w:val="BodyText"/>
      </w:pPr>
      <w:r>
        <w:t xml:space="preserve">Cirilo, J. A., Gunther, L. K., &amp; Yengo, C. M. (2021). Functional role of class III myosins in hair cells. Frontiers in Cell and Developmental Biology, 9, 643856. https://doi.org/10.3389/fcell.2021.643856</w:t>
      </w:r>
    </w:p>
    <w:p>
      <w:pPr>
        <w:pStyle w:val="BodyText"/>
      </w:pPr>
      <w:r>
        <w:t xml:space="preserve">Coluccio, L. M. (2008). Myosins. Springer. https://doi.org/10.1007/978-1-4020-6519-4</w:t>
      </w:r>
    </w:p>
    <w:p>
      <w:pPr>
        <w:pStyle w:val="BodyText"/>
      </w:pPr>
      <w:r>
        <w:t xml:space="preserve">Kempler, K., Tóth, J., Yamashita, R., Mapel, G., Robinson, K., Cardasis, H., Stevens, S., Sellers, J. R., &amp; Battelle, B.-A. (2007). Loop 2 of Limulus myosin III is phosphorylated by protein kinase A and autophosphorylation. Biochemistry, 46, 4280–4293. https://doi.org/10.1021/bi062112u</w:t>
      </w:r>
    </w:p>
    <w:p>
      <w:pPr>
        <w:pStyle w:val="BodyText"/>
      </w:pPr>
      <w:r>
        <w:t xml:space="preserve">Komaba, S., Inoue, A., Maruta, S., Hosoya, H., &amp; Ikebe, M. (2003). Determination of human myosin III as a motor protein having a protein kinase activity. Journal of Biological Chemistry, 278, 21352–21360. https://doi.org/10.1074/jbc.M300757200</w:t>
      </w:r>
    </w:p>
    <w:p>
      <w:pPr>
        <w:pStyle w:val="BodyText"/>
      </w:pPr>
      <w:r>
        <w:t xml:space="preserve">Liu, H., Li, J., Raval, M. H., Yao, N., Deng, X., Lu, Q., Nie, S., Feng, W., Wan, J., Yengo, C. M., Liu, W., &amp; Zhang, M. (2016). Myosin III-mediated cross-linking and stimulation of actin bundling activity of espin. eLife, 5, e12856. https://doi.org/10.7554/eLife.12856</w:t>
      </w:r>
    </w:p>
    <w:p>
      <w:pPr>
        <w:pStyle w:val="BodyText"/>
      </w:pPr>
      <w:r>
        <w:t xml:space="preserve">Myosin class III in mouse: kinase activity and phosphorylation sites. (2011). [Unpublished manuscript].</w:t>
      </w:r>
    </w:p>
    <w:p>
      <w:pPr>
        <w:pStyle w:val="BodyText"/>
      </w:pPr>
      <w:r>
        <w:t xml:space="preserve">Quintero, O. A., Unrath, W. C., Stevens, S. M., Manor, U., Kachar, B., &amp; Yengo, C. M. (2013). Myosin 3A kinase activity is regulated by phosphorylation of the kinase domain activation loop. Journal of Biological Chemistry, 288, 37126–37137. https://doi.org/10.1074/jbc.M113.511014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2025-07-03T20:25:13Z</dcterms:created>
  <dcterms:modified xsi:type="dcterms:W3CDTF">2025-07-03T20:25:13Z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