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DYRK2 belongs to the CMGC protein-kinase group, DYRK family, class II branch (Correa-Sáez et al., 2020). Orthologues are detected from yeast to mammals; Caenorhabditis elegans MBK-2 and Drosophila melanogaster dDyrk3 represent invertebrate counterparts of mammalian DYRK2 (DeBoever et al., 2022). Further conservation is evident in plants, unicellular algae and several parasites (Lindberg &amp; Meijer, 2021). The catalytic domain shares &gt; 90 % sequence identity with DYRK3, indicating recent divergence within class II DYRKs (Tandon et al.,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(Chowdhury et al., 2023).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Activity depends on divalent Mg²⁺ or Mn²⁺ ions (Becker et al., 1998).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Preferred motif: R-x(0-2)-S/T-P with an arginine at −2/−3 and a proline at +1 (Correa-Sáez et al., 2020).</w:t>
      </w:r>
      <w:r>
        <w:br/>
      </w:r>
      <w:r>
        <w:t xml:space="preserve">• Kinome-wide profiling refines the consensus to Rx(x)S/TP for DYRK2 (Correa-Sáez et al., 2020).</w:t>
      </w:r>
      <w:r>
        <w:br/>
      </w:r>
      <w:r>
        <w:t xml:space="preserve">• Frequently primes substrates for subsequent GSK3β phosphorylation (Chowdhury et al., 2023).</w:t>
      </w:r>
      <w:r>
        <w:br/>
      </w:r>
      <w:r>
        <w:t xml:space="preserve">• Peptide-library studies report reduced tolerance for a +1 proline in selected contexts (Soundararajan et al., 2013).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polypeptide contains NAPA1/2 autophosphorylation regions, an NLS (aa 189-191), a DYRK-homology (DH) box (aa 200-210), the catalytic domain (aa 222-535) with the YxY activation loop, and a CMGC-specific insert (Correa-Sáez et al., 2020). Crystal structures are available for the apo form (PDB 3KL2), a curcumin complex (5ZTN) and an inhibitor complex (6K0J); all display the canonical bilobal fold with phosphorylated Tyr382 stabilising the activation loop (Correa-Sáez et al., 2020). Key active-site residues include Lys251 (VAIK motif) for ATP anchoring, HRD-His as catalytic base, DFG-Asp for Mg²⁺ coordination and pTyr382 completing the regulatory spine (Unknown Authors,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of Tyr382 is essential for full catalytic activity (Correa-Sáez et al., 2020).</w:t>
      </w:r>
      <w:r>
        <w:br/>
      </w:r>
      <w:r>
        <w:t xml:space="preserve">• ATM phosphorylates Thr33 and Ser369 after DNA damage, preventing MDM2-mediated degradation and promoting nuclear retention (Unknown Authors, 2022).</w:t>
      </w:r>
      <w:r>
        <w:br/>
      </w:r>
      <w:r>
        <w:t xml:space="preserve">• MAP3K10 phosphorylates Thr308 and Ser376, linking Hedgehog signalling to DYRK2 (Correa-Sáez et al., 2020).</w:t>
      </w:r>
      <w:r>
        <w:br/>
      </w:r>
      <w:r>
        <w:t xml:space="preserve">• Prolyl-4-hydroxylation at Pro441 facilitates subsequent Tyr382 autophosphorylation (Lindberg &amp; Meijer, 2021).</w:t>
      </w:r>
      <w:r>
        <w:br/>
      </w:r>
      <w:r>
        <w:t xml:space="preserve">• Ubiquitination by SIAH2 and by the EDVP (EDD–DDB1–VprBP) E3 ligase targets DYRK2 for proteasomal turnover; ATM-dependent phosphorylation counteracts this process (Tandon et al., 2021; Unknown Authors, 2022).</w:t>
      </w:r>
      <w:r>
        <w:br/>
      </w:r>
      <w:r>
        <w:t xml:space="preserve">• Cep78 influences EDVP complex assembly, thereby modulating DYRK2 stability (Unknown Authors, 2022).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Highest mRNA levels are found in small intestine and heart (Correa-Sáez et al., 2020); the protein is enriched in neuronal tissue and contributes to neurodevelopment (Santos-Durán &amp; Barreiro-Iglesias, 2022). ATM acts upstream of DYRK2 during DNA-damage responses (Chowdhury et al., 2023). Reported substrates and roles include:</w:t>
      </w:r>
      <w:r>
        <w:br/>
      </w:r>
      <w:r>
        <w:t xml:space="preserve">– p53 Ser46 phosphorylation to trigger apoptosis (Chowdhury et al., 2023).</w:t>
      </w:r>
      <w:r>
        <w:br/>
      </w:r>
      <w:r>
        <w:t xml:space="preserve">– NFATC1 phosphorylation limiting nuclear accumulation (Chowdhury et al., 2023).</w:t>
      </w:r>
      <w:r>
        <w:br/>
      </w:r>
      <w:r>
        <w:t xml:space="preserve">– EIF2B5 Ser544 priming for GSK3β-mediated inhibition (Chowdhury et al., 2023).</w:t>
      </w:r>
      <w:r>
        <w:br/>
      </w:r>
      <w:r>
        <w:t xml:space="preserve">– CRMP2/4 priming during neuronal morphogenesis (Correa-Sáez et al., 2020).</w:t>
      </w:r>
      <w:r>
        <w:br/>
      </w:r>
      <w:r>
        <w:t xml:space="preserve">– Glycogen synthase (GYS1) Ser641 inactivation (Correa-Sáez et al., 2020).</w:t>
      </w:r>
      <w:r>
        <w:br/>
      </w:r>
      <w:r>
        <w:t xml:space="preserve">– Sequential phosphorylation of c-Myc, c-Jun and GLI2, promoting their degradation (Chowdhury et al., 2023).</w:t>
      </w:r>
      <w:r>
        <w:br/>
      </w:r>
      <w:r>
        <w:t xml:space="preserve">– Scaffold function within the EDVP E3 ligase complex directing TERT turnover (Correa-Sáez et al., 2020).</w:t>
      </w:r>
      <w:r>
        <w:br/>
      </w:r>
      <w:r>
        <w:t xml:space="preserve">– Modulation of 26S proteasome activity and maintenance of proteostasis (Tandon et al., 2021).</w:t>
      </w:r>
      <w:r>
        <w:br/>
      </w:r>
      <w:r>
        <w:t xml:space="preserve">– Control of G2/M progression and spindle dynamics (Unknown Authors,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LDN-192960 (IC₅₀ ≈ 13 nM), harmine (IC₅₀ ≈ 0.8 µM), curcumin (nanomolar potency, co-crystal PDB 5ZTN) and the compounds AZ191, 7BIO and ID-8 (micromolar activity) inhibit DYRK2 in biochemical assays (Correa-Sáez et al., 2020; Tandon et al., 2021).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Low DYRK2 expression correlates with poor prognosis in colorectal, bladder and ovarian cancers, whereas over-expression can promote tumour progression in certain breast and lung carcinomas (Boni et al., 2020). Cancer-specific mutations at the EDVP-interaction surface may switch DYRK2 from tumour-suppressive to oncogenic functions (Tandon et al., 2021).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Becker, W., Weber, Y., Wetzel, K., Eirmbter, K., Tejedor, F., &amp; Joost, H. (1998). Sequence characteristics, subcellular localization, and substrate specificity of DYRK-related kinases, a novel family of dual-specificity protein kinases. Journal of Biological Chemistry, 273, 25893–25902. https://doi.org/10.1074/jbc.273.40.25893</w:t>
      </w:r>
    </w:p>
    <w:p>
      <w:pPr>
        <w:pStyle w:val="BodyText"/>
      </w:pPr>
      <w:r>
        <w:t xml:space="preserve">Boni, J., Rubio-Perez, C., López-Bigas, N., Fillat, C., &amp; de la Luna, S. (2020). The DYRK family of kinases in cancer: Molecular functions and therapeutic opportunities. Cancers, 12, 2106. https://doi.org/10.3390/cancers12082106</w:t>
      </w:r>
    </w:p>
    <w:p>
      <w:pPr>
        <w:pStyle w:val="BodyText"/>
      </w:pPr>
      <w:r>
        <w:t xml:space="preserve">Chowdhury, I., Dashi, G., &amp; Keskitalo, S. (2023). CMGC kinases in health and cancer. Cancers, 15. https://doi.org/10.3390/cancers15153838</w:t>
      </w:r>
    </w:p>
    <w:p>
      <w:pPr>
        <w:pStyle w:val="BodyText"/>
      </w:pPr>
      <w:r>
        <w:t xml:space="preserve">Correa-Sáez, A., Jiménez-Izquierdo, R., Garrido-Rodríguez, M., Morrugares, R., Muñoz, E., &amp; Calzado, M. A. (2020). Updating dual-specificity tyrosine-phosphorylation-regulated kinase 2 (DYRK2): Molecular basis, functions and role in diseases. Cellular and Molecular Life Sciences, 77, 4747–4763. https://doi.org/10.1007/s00018-020-03556-1</w:t>
      </w:r>
    </w:p>
    <w:p>
      <w:pPr>
        <w:pStyle w:val="BodyText"/>
      </w:pPr>
      <w:r>
        <w:t xml:space="preserve">DeBoever, E., Fistrovich, A., Hulme, C., &amp; Dunckley, T. (2022). The omnipresence of DYRK1A in human diseases. International Journal of Molecular Sciences, 23, 9355. https://doi.org/10.3390/ijms23169355</w:t>
      </w:r>
    </w:p>
    <w:p>
      <w:pPr>
        <w:pStyle w:val="BodyText"/>
      </w:pPr>
      <w:r>
        <w:t xml:space="preserve">Lindberg, M. F., &amp; Meijer, L. (2021). Dual-specificity, tyrosine phosphorylation-regulated kinases (DYRKs) and CDC2-like kinases (CLKs) in human disease: An overview. International Journal of Molecular Sciences, 22, 6047. https://doi.org/10.3390/ijms22116047</w:t>
      </w:r>
    </w:p>
    <w:p>
      <w:pPr>
        <w:pStyle w:val="BodyText"/>
      </w:pPr>
      <w:r>
        <w:t xml:space="preserve">Santos-Durán, G. N., &amp; Barreiro-Iglesias, A. (2022). Roles of dual specificity tyrosine-phosphorylation-regulated kinase 2 in nervous system development and disease. Frontiers in Neuroscience, 16, 994256. https://doi.org/10.3389/fnins.2022.994256</w:t>
      </w:r>
    </w:p>
    <w:p>
      <w:pPr>
        <w:pStyle w:val="BodyText"/>
      </w:pPr>
      <w:r>
        <w:t xml:space="preserve">Soundararajan, M., Roos, A., Savitsky, P., Filippakopoulos, P., Kettenbach, A., Olsen, J., Gerber, S., Eswaran, J., Knapp, S., &amp; Elkins, J. (2013). Structures of Down syndrome kinases, DYRKs, reveal mechanisms of kinase activation and substrate recognition. Structure, 21, 986–996. https://doi.org/10.1016/j.str.2013.03.012</w:t>
      </w:r>
    </w:p>
    <w:p>
      <w:pPr>
        <w:pStyle w:val="BodyText"/>
      </w:pPr>
      <w:r>
        <w:t xml:space="preserve">Tandon, V., de la Vega, L., &amp; Banerjee, S. (2021). Emerging roles of DYRK2 in cancer. Journal of Biological Chemistry, 296, 100386. https://doi.org/10.1074/jbc.REV120.015217</w:t>
      </w:r>
    </w:p>
    <w:p>
      <w:pPr>
        <w:pStyle w:val="BodyText"/>
      </w:pPr>
      <w:r>
        <w:t xml:space="preserve">Unknown Authors. (2022). Determination of new DYRK2 functions in response to genotoxic stress.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2025-07-03T20:27:30Z</dcterms:created>
  <dcterms:modified xsi:type="dcterms:W3CDTF">2025-07-03T20:27:30Z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