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CaMKIγ (CAMK1G) belongs to the Ser/Thr eukaryotic protein kinase super-family, CAMK group, CaMKI subfamily (Unknown Authors, 2012, pp. 18-22). Human paralogues within this subfamily are CAMK1 (α), PNCK/CAMK1B (β), CAMK1D (δ) and CAMK1G (γ) (Brzozowski &amp; Skelding, 2019, pp. 1-4). Orthologous proteins with verified coding sequences have been reported in Homo sapiens, Mus musculus, Rattus norvegicus, Danio rerio and Drosophila melanogaster (Ohmae et al., 2006, pp. 4-5). Kinase-domain phylogenies place CaMKIγ with other CaMKI isoforms and clearly separate the clade from CaMKII and CaMKIV branches (Ohmae et al., 2006, pp. 5-6).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[protein]-Ser/Thr ⇌ ADP + [protein]-O-phospho-Ser/Thr (Unknown Authors, 2023, pp. 133-137).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for catalysis; Mn²⁺ can substitute in standard CaMKI family assays (Brzozowski &amp; Skelding, 2019, pp. 19-21).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Validated substrates include CREB1 at Ser133 (Ohmae et al., 2006, p. 1) and LIMK1 within the CaMKI–LIMK–cofilin pathway (Unknown Authors, 2012, pp. 42-48). Family-wide biochemical data indicate preference for basic residues N-terminal to the phospho-acceptor (Arg/Lys-X-X-Ser/Thr); no CaMKIγ-specific motif has been mapped (Unknown Authors, 2012, pp. 54-58).</w:t>
      </w:r>
    </w:p>
    <w:p>
      <w:pPr>
        <w:pStyle w:val="BodyText"/>
      </w:pPr>
      <w:r>
        <w:t xml:space="preserve">Structure</w:t>
      </w:r>
      <w:r>
        <w:br/>
      </w:r>
      <w:r>
        <w:t xml:space="preserve">Residues 1-279 form the bilobal catalytic kinase domain containing canonical VAIK, HRD, DFG and APE motifs; residues 280-322 constitute an autoinhibitory/calmodulin-binding regulatory domain; residues 323-414 comprise a unique C-terminal extension ending in a CAAX prenylation motif (Unknown Authors, 2012, pp. 36-42, 54-58). Homology crystal structures of CaMKIα (PDB 1MRW) and CaMKIδ (PDB 4FG8) show the conserved fold and packing of the autoinhibitory helix (Unknown Authors, 2012, pp. 245-254). An AlphaFold model (AF-Q96NX5-F1) covers flexible regions including the CAAX tail (Unknown Authors, 2012, pp. 245-254). Thr177 in the activation loop (CaMKIδ numbering) is the CaMKK phosphorylation site; completion of hydrophobic regulatory and catalytic spines accompanies activation (Takemoto-Kimura et al., 2017, pp. 4-6; Unknown Authors, 2012, pp. 178-187).</w:t>
      </w:r>
    </w:p>
    <w:p>
      <w:pPr>
        <w:pStyle w:val="BodyText"/>
      </w:pPr>
      <w:r>
        <w:t xml:space="preserve">Regulation</w:t>
      </w:r>
      <w:r>
        <w:br/>
      </w:r>
      <w:r>
        <w:t xml:space="preserve">• Phosphorylation – CaMKK1/2 phosphorylate Thr177 to enhance activity; PP2A and PP2B reverse this modification (Takemoto-Kimura et al., 2017, pp. 4-6, 16-18).</w:t>
      </w:r>
      <w:r>
        <w:br/>
      </w:r>
      <w:r>
        <w:t xml:space="preserve">• Ca²⁺/calmodulin – Ca²⁺/CaM binding to the regulatory domain displaces the autoinhibitory segment from the catalytic cleft (Unknown Authors, 2012, pp. 36-42).</w:t>
      </w:r>
      <w:r>
        <w:br/>
      </w:r>
      <w:r>
        <w:t xml:space="preserve">• Lipid modification – Prenylation of the C-terminal CAAX cysteine is required for Golgi and plasma-membrane localisation; loss of prenylation redistributes the kinase to the cytosol (Unknown Authors, 2012, pp. 36-42).</w:t>
      </w:r>
    </w:p>
    <w:p>
      <w:pPr>
        <w:pStyle w:val="BodyText"/>
      </w:pPr>
      <w:r>
        <w:t xml:space="preserve">Function</w:t>
      </w:r>
      <w:r>
        <w:br/>
      </w:r>
      <w:r>
        <w:t xml:space="preserve">High mRNA and protein expression occur in limbic brain regions (central amygdala, bed nucleus of the stria terminalis, ventromedial hypothalamus, hippocampus, medial frontal cortex); peripheral expression is lower and largely neuronal (Piechota et al., 2022, pp. 4-6; Unknown Authors, 2012, pp. 42-48). Glucocorticoids and acute stress markedly up-regulate CAMK1G transcription in the central amygdala (Piechota et al., 2022, pp. 4-6). Upstream activators are Ca²⁺/CaM (binding) and CaMKK1/2 (phosphorylation) (Takemoto-Kimura et al., 2017, pp. 4-6). Downstream, CaMKIγ phosphorylates CREB1 to couple Ca²⁺ signals to gene expression (Ohmae et al., 2006, p. 1) and activates LIMK1 and ERK pathways to drive actin polymerisation and dendritic development (Unknown Authors, 2012, pp. 42-48). Physiologically, CaMKIγ modulates anxiety-like behaviour and conditioned fear; Camk1g knock-down mice show increased freezing and anxiety (Piechota et al., 2022, pp. 4-6). The kinase also promotes neuronal morphogenesis, including dendritic arborisation in an activity-dependent manner (Unknown Authors, 2012, pp. 42-48).</w:t>
      </w:r>
    </w:p>
    <w:p>
      <w:pPr>
        <w:pStyle w:val="BodyText"/>
      </w:pPr>
      <w:r>
        <w:t xml:space="preserve">Other Comments</w:t>
      </w:r>
      <w:r>
        <w:br/>
      </w:r>
      <w:r>
        <w:t xml:space="preserve">Elevated CAMK1G expression correlates with poor prognosis in clear-cell renal carcinoma (Brzozowski &amp; Skelding, 2019, pp. 23-24), and CAMK1G co-expression modules are enriched in schizophrenia transcriptomic datasets (Piechota et al., 2022, pp. 4-6).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Brzozowski, J. S., &amp; Skelding, K. (2019). The multi-functional calcium/calmodulin stimulated protein kinase (CaMK) family: Emerging targets for anti-cancer therapeutic intervention. Pharmaceuticals, 12, 8. https://doi.org/10.3390/ph12010008</w:t>
      </w:r>
    </w:p>
    <w:p>
      <w:pPr>
        <w:pStyle w:val="FirstParagraph"/>
      </w:pPr>
      <w:r>
        <w:t xml:space="preserve">Ohmae, S., Takemoto-Kimura, S., Okamura, M., Adachi-Morishima, A., Nonaka, M., Fuse, T., … Bito, H. (2006). Molecular identification and characterization of a family of kinases with homology to Ca2+/calmodulin-dependent protein kinases I/IV. Journal of Biological Chemistry, 281, 20427–20439. https://doi.org/10.1074/jbc.M513212200</w:t>
      </w:r>
    </w:p>
    <w:p>
      <w:pPr>
        <w:pStyle w:val="BodyText"/>
      </w:pPr>
      <w:r>
        <w:t xml:space="preserve">Piechota, M., Skupio, U., Borczyk, M., Ziółkowska, B., Gołda, S., Szumiec, Ł., … Korostyński, M. (2022). Glucocorticoid-regulated kinase CAMKIγ in the central amygdala controls anxiety-like behavior in mice. International Journal of Molecular Sciences, 23, 12328. https://doi.org/10.3390/ijms232012328</w:t>
      </w:r>
    </w:p>
    <w:p>
      <w:pPr>
        <w:pStyle w:val="BodyText"/>
      </w:pPr>
      <w:r>
        <w:t xml:space="preserve">Takemoto-Kimura, S., Suzuki, K., Horigane, S.-I., Kamijo, S., Inoue, M., Sakamoto, M., Fujii, H., &amp; Bito, H. (2017). Calmodulin kinases: Essential regulators in health and disease. Journal of Neurochemistry, 141, 808–818. https://doi.org/10.1111/jnc.14020</w:t>
      </w:r>
    </w:p>
    <w:p>
      <w:pPr>
        <w:pStyle w:val="BodyText"/>
      </w:pPr>
      <w:r>
        <w:t xml:space="preserve">Unknown Authors. (2012). Evaluation of protein kinases for solution NMR spectroscopy and the structural mechanism of inhibition and activation of an oncogenic calcium calmodulin dependent … [Report].</w:t>
      </w:r>
    </w:p>
    <w:p>
      <w:pPr>
        <w:pStyle w:val="BodyText"/>
      </w:pPr>
      <w:r>
        <w:t xml:space="preserve">Unknown Authors. (2023). A screening for novel immune-checkpoints identifies CAMK1D as a kinase responsible for immune resistance in multiple myeloma [Report], 133-137.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2025-07-03T18:49:11Z</dcterms:created>
  <dcterms:modified xsi:type="dcterms:W3CDTF">2025-07-03T18:49:11Z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