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protein is encoded in Homo sapiens and has an ortholog in Mus musculus, indicating conservation across mammals (Jacobsen &amp; Murphy, 2017; Thiriet, 2013). It belongs to the AGC group, ribosomal S6 kinase (RSK) family that arose by gene-fusion events generating tandem kinase domains (Manning et al., 2002). Because its N-terminal kinase-like region is catalytically impaired and preceded by a phox homology (PX) lipid-binding module, it is further classified among vesicle-associated pseudokinases (Jacobsen &amp; Murphy,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(Thiriet, 2013).</w:t>
      </w:r>
      <w:r>
        <w:br/>
      </w:r>
      <w:r>
        <w:t xml:space="preserve">Note: Structural analyses indicate that the N-terminal domain is catalytically inactive and functions mainly as a scaffold (Jacobsen &amp; Murphy,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divalent-metal or other cofactor requirement has been reported (Jacobsen &amp; Murphy,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Confirmed substrates are ribosomal protein S6 and translation initiation factor eIF4B; a consensus phosphorylation motif has not been defined (Thiriet,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PX domain that binds phosphatidylinositol-3-phosphate (PI3P) via three conserved lipid-contact sites (Kervin &amp; Overduin, 2021), followed by two sequential kinase-like domains:</w:t>
      </w:r>
      <w:r>
        <w:br/>
      </w:r>
      <w:r>
        <w:t xml:space="preserve">• C-terminal CaMK-related domain that activates the upstream AGC-related domain (Thiriet, 2013).</w:t>
      </w:r>
      <w:r>
        <w:br/>
      </w:r>
      <w:r>
        <w:t xml:space="preserve">• N-terminal AGC-related domain with degenerate catalytic motifs, explaining loss of enzymatic activity (Jacobsen &amp; Murphy, 2017).</w:t>
      </w:r>
      <w:r>
        <w:br/>
      </w:r>
      <w:r>
        <w:t xml:space="preserve">No crystallographic structure is available; current models are homology-based (Kervin &amp; Overduin,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ERK1/2 phosphorylate six sites in the C-terminal domain, after which autophosphorylation creates a PDK1 docking site that promotes activation of the N-terminal domain (Thiriet, 2013).</w:t>
      </w:r>
      <w:r>
        <w:br/>
      </w:r>
      <w:r>
        <w:t xml:space="preserve">• Protein phosphatase PP2Cδ removes these activating phosphates (Thiriet, 2013).</w:t>
      </w:r>
      <w:r>
        <w:br/>
      </w:r>
      <w:r>
        <w:t xml:space="preserve">• PX-dependent binding to PI3P recruits the protein to early endosomes; release from the membrane terminates signalling (Jacobsen &amp; Murphy,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brain, lung, kidney, liver, pancreas, skeletal muscle, spleen and thymus (Thiriet, 2013). It is cytosolic at rest and relocates to PI3P-rich early endosomes via its PX domain (Jacobsen &amp; Murphy, 2017). Binding partners include sphingosine kinase-1, PI3P and the antioxidant enzyme PRDX3, the latter being recruited to endosomes (Thiriet, 2013). Upstream regulators are ERK1/2 and PDK1, whereas downstream targets comprise ribosomal protein S6, eIF4B, and pro-apoptotic proteins BAD and DAPK (Thiriet, 2013). Collectively, the kinase integrates Ras–ERK signalling with sphingosine-1-phosphate pathways and early endosomal trafficking (Jacobsen &amp; Murphy, 2017; Thiriet, 2013).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gene is co-amplified with 4EBP1 on chromosome 11q13 in breast cancer; high expression correlates with poor prognosis and elevated Akt/mTOR activity (Karlsson et al., 2015). Knock-down in ZR751 breast-cancer cells increases S6K1 and the mTORC1 component Raptor, suggesting compensatory feedback within the mTOR pathway (Karlsson et al., 2015).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Jacobsen, A. V., &amp; Murphy, J. M. (2017). The secret life of kinases: Insights into non-catalytic signalling functions from pseudokinases. Biochemical Society Transactions, 45, 665–681. https://doi.org/10.1042/BST20160331</w:t>
      </w:r>
    </w:p>
    <w:p>
      <w:pPr>
        <w:pStyle w:val="BodyText"/>
      </w:pPr>
      <w:r>
        <w:t xml:space="preserve">Karlsson, E., Magić, I., Bostner, J., Dyrager, C., Lysholm, F., Hallbeck, A.-L., Stål, O., &amp; Lundström, P. (2015). Revealing different roles of the mTOR-targets S6K1 and S6K2 in breast cancer by expression profiling and structural analysis. PLOS ONE, 10, e0145013. https://doi.org/10.1371/journal.pone.0145013</w:t>
      </w:r>
    </w:p>
    <w:p>
      <w:pPr>
        <w:pStyle w:val="BodyText"/>
      </w:pPr>
      <w:r>
        <w:t xml:space="preserve">Kervin, T. A., &amp; Overduin, M. (2021). Regulation of the phosphoinositide code by phosphorylation of membrane readers. Cells, 10, 1205. https://doi.org/10.3390/cells10051205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Thiriet, M. (2013). Cytoplasmic protein serine/threonine kinases. In Biomathematical and Biomechanical Modeling of the Circulatory and Ventilatory Systems (pp. 175–310). Springer. https://doi.org/10.1007/978-1-4614-4370-4_5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2025-07-03T18:05:29Z</dcterms:created>
  <dcterms:modified xsi:type="dcterms:W3CDTF">2025-07-03T18:05:29Z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