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CDK19 belongs to the CMGC protein-kinase superfamily and is placed within the transcriptional CDK subgroup (CDK7–CDK13), which is evolutionarily distinct from the canonical cell-cycle CDKs (Kaveh et al., 2024; Wood &amp; Endicott, 2018). Its closest human paralogue is CDK8, and both kinases associate with cyclin C in the Mediator kinase module (Wood &amp; Endicott, 2018). Non-mammalian orthologues were not reported in the cited sources.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protein-phospho-Ser/Thr (Peyressatre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catalytic activity (Peyressatre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Positional-scanning peptide libraries reveal a strict requirement for Pro at +1 relative to the phosphorylated Ser/Thr (consensus S/T-P) (Johnson et al., 2023).</w:t>
      </w:r>
      <w:r>
        <w:br/>
      </w:r>
      <w:r>
        <w:t xml:space="preserve">• The extended motif S/T-P-X-K/R is tolerated; the +3 Lys/Arg is less critical for transcriptional CDKs (Errico et al., 2010).</w:t>
      </w:r>
      <w:r>
        <w:br/>
      </w:r>
      <w:r>
        <w:t xml:space="preserve">• High-confidence cellular targets include the RNA-polymerase II subunit POLR2A at Ser1616 and Ser1619, at which CDK19 ranks in the 89.9th and 98.4th percentiles, respectively, among 303 kinases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CDK19 encodes an N-terminal bilobal Ser/Thr kinase domain containing the canonical catalytic Lys (β3 strand), αC-helix Glu, HRD and DFG motifs that coordinate Mg²⁺–ATP (Wood &amp; Endicott, 2018). The activation loop harbours a Thr equivalent to CDK2 Thr160 that is phosphorylated for full activity (Wood &amp; Endicott, 2018). An extended C-terminal region mediates cyclin C binding and incorporation into the Mediator kinase module (Wood &amp; Endicott, 2018). No experimental CDK19 crystal structure is available; current models are inferred from CDK8 homology and AlphaFold predictions (Pellarin et al., 2025).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Kinase activity requires binding to cyclin C, which re-positions the αC-helix and orders the activation loop (Wood &amp; Endicott, 2018).</w:t>
      </w:r>
      <w:r>
        <w:br/>
      </w:r>
      <w:r>
        <w:t xml:space="preserve">• Activation-loop Thr is phosphorylated by the CDK7–cyclin H–MAT1 CAK complex (Wood &amp; Endicott, 2018).</w:t>
      </w:r>
      <w:r>
        <w:br/>
      </w:r>
      <w:r>
        <w:t xml:space="preserve">• Inhibitory phosphorylation of residues equivalent to CDK2 Thr14/Tyr15 by Wee1/Myt1 is a conserved mechanism, although the precise CDK19 sites remain unmapped (Peyressatre et al., 2015).</w:t>
      </w:r>
      <w:r>
        <w:br/>
      </w:r>
      <w:r>
        <w:t xml:space="preserve">• Transient docking of the CDK19–cyclin C module onto core Mediator provides an additional layer of allosteric control (Wood &amp; Endicott,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CDK19 partners with cyclin C in the Mediator kinase module to regulate RNA-polymerase II transcription (Wood &amp; Endicott, 2018). It directly phosphorylates the POLR2A C-terminal domain at Ser1616 and Ser1619, influencing transcription-elongation dynamics (Johnson et al., 2023). CDK19 shares substrate overlap and partial functional redundancy with CDK8 and is classified among transcription-regulating CDKs (Johnson et al., 2023; Kaveh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Flavopiridol, a broad-spectrum ATP-competitive inhibitor, suppresses multiple CDKs including transcriptional family members; no CDK19-selective inhibitors were reported in the cited corpus (Peyressatre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CDK19 has been implicated in cancer, highlighting the kinase as a potential therapeutic target (Pellarin et al., 2025).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Errico, A., Deshmukh, K., Tanaka, Y., Pozniakovsky, A., &amp; Hunt, T. (2010). Identification of substrates for cyclin dependent kinases. Advances in Enzyme Regulation, 50(1), 375–399. https://doi.org/10.1016/j.advenzreg.2009.12.001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Kaveh, S., Mani-varnosfaderani, A., &amp; Neiband, M. S. (2024). Deriving general structure–activity/selectivity relationship patterns for different subfamilies of cyclin-dependent kinase inhibitors using machine learning methods. Scientific Reports. https://doi.org/10.1038/s41598-024-66173-z</w:t>
      </w:r>
    </w:p>
    <w:p>
      <w:pPr>
        <w:pStyle w:val="BodyText"/>
      </w:pPr>
      <w:r>
        <w:t xml:space="preserve">Pellarin, I., Dall’Acqua, A., Favero, A., Segatto, I., Rossi, V., Crestan, N., … Baldassarre, G. (2025). Cyclin-dependent protein kinases and cell cycle regulation in biology and disease. Signal Transduction and Targeted Therapy. https://doi.org/10.1038/s41392-024-02080-z</w:t>
      </w:r>
    </w:p>
    <w:p>
      <w:pPr>
        <w:pStyle w:val="BodyText"/>
      </w:pPr>
      <w:r>
        <w:t xml:space="preserve">Peyressatre, M., Prével, C., Pellerano, M., &amp; Morris, M. (2015). Targeting cyclin-dependent kinases in human cancers: from small molecules to peptide inhibitors. Cancers, 7(1), 179–237. https://doi.org/10.3390/cancers7010179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Biology. https://doi.org/10.1098/rsob.180112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2025-07-03T21:59:53Z</dcterms:created>
  <dcterms:modified xsi:type="dcterms:W3CDTF">2025-07-03T21:59:53Z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