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PRKD2 orthologs have been experimentally verified in mouse, rat, zebrafish, Drosophila and C. elegans, underscoring broad metazoan conservation (Ellwanger &amp; Hausser, 2013). Within the human kinome, PRKD2 belongs to the Ca²⁺/calmodulin-dependent protein kinase (CAMK) group, PKD subfamily, together with PRKD1 and PRKD3 (Zhang et al., 2021). Phylogenetic analyses indicate that PRKD1 and PRKD2 are the closest paralogs; PRKD2 appears to have arisen later in mammalian evolution, whereas a PKD1-like isoform exists in earlier vertebrates (Azoitei et al., 2018).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protein-O-phospho-Ser/Thr (Anti, 2009; Cobbaut et al.,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Mg²⁺ or Mn²⁺; in vitro assays typically employ ~10 mM MgCl₂ (Cobbaut et al., 2017; Unknown Author(s), 2023).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quantitative motif analysis defined a preferred consensus (L/I/V)-x-R-x-x-S/T with a hydrophobic residue at ‑5 and an Arg at ‑3 (Unknown Author(s), 2023). Phosphoproteomics in vasopressin-stimulated collecting-duct cells confirmed enrichment of L-X-R-(R/H)-X-pS/T motifs (Datta et al., 2021). Peptide-array screens show tolerance for diverse flanking residues but a strict requirement for a central Ser/Thr (Cobbaut et al., 2017).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Ubiquitin-like dimerisation domain (ULD) → tandem C1a/C1b domains → PH domain → Ser/Thr kinase domain → C-terminal PDZ-binding tail (Reinhardt et al., 2020; Zhang et al., 2021).</w:t>
      </w:r>
      <w:r>
        <w:br/>
      </w:r>
      <w:r>
        <w:t xml:space="preserve">3-D information: crystal/NMR structures exist for the C. elegans ULD-C1a cassette (PDB 6RAO) and the human PH domain (PDB 2COA). AlphaFold modelling supports a canonical bilobal kinase fold and a face-to-face homodimer interface (Unknown Author(s), 2023).</w:t>
      </w:r>
      <w:r>
        <w:br/>
      </w:r>
      <w:r>
        <w:t xml:space="preserve">Key features: the activation loop contains Ser706/Ser710 and a P+1-loop Tyr717 between the conserved DFG and APE motifs; an LNQ sequence C-terminal to APE modulates Abl docking (Cobbaut et al., 2017). ULD-mediated dimerisation juxtaposes the two activation loops for trans-autophosphorylation; subsequent phosphorylation disrupts the dimer to allow substrate access (Reinhardt et al., 2020). The αG-helix acidic patch and hydrophobic spine aid dimer stabilisation and inhibitor binding (Unknown Author(s), 2014).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Ser706 (activation loop) is phosphorylated by novel PKC isoforms, relieving PH-domain autoinhibition (Cobbaut et al., 2017).</w:t>
      </w:r>
      <w:r>
        <w:br/>
      </w:r>
      <w:r>
        <w:t xml:space="preserve">• Ser710 undergoes autophosphorylation and cooperates with Ser706 for full activity (Cobbaut et al., 2017).</w:t>
      </w:r>
      <w:r>
        <w:br/>
      </w:r>
      <w:r>
        <w:t xml:space="preserve">• Tyr717 is phosphorylated by Abl during oxidative stress, increasing catalytic turnover; this requires prior Ser706/Ser710 phosphorylation (Cobbaut et al., 2017).</w:t>
      </w:r>
      <w:r>
        <w:br/>
      </w:r>
      <w:r>
        <w:t xml:space="preserve">• Additional sites: Tyr87 (oxidant-induced), Tyr438 (BCR-Abl-dependent), Ser876 (C-terminal autophosphorylation marker) (Bernhart et al., 2014; Cobbaut et al., 2017).</w:t>
      </w:r>
      <w:r>
        <w:br/>
      </w:r>
      <w:r>
        <w:t xml:space="preserve">• Allosteric controls include DAG binding to C1 domains, ULD-driven dimerisation, and PH-domain autoinhibition (Reinhardt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 in lung, brain, kidney, heart, smooth muscle, pancreas and prostate (Zhang et al., 2021).</w:t>
      </w:r>
      <w:r>
        <w:br/>
      </w:r>
      <w:r>
        <w:t xml:space="preserve">Immune system: abundant in thymocytes and peripheral T cells; required for TCR-driven cytokine production and extensive phospho-signalling networks in cytotoxic T lymphocytes (Ellwanger &amp; Hausser, 2013; Navarro et al., 2014).</w:t>
      </w:r>
      <w:r>
        <w:br/>
      </w:r>
      <w:r>
        <w:t xml:space="preserve">Upstream activators: DAG-activated PKCδ targets Ser706; oxidative stress activates Abl for Tyr717 phosphorylation (Steinberg, 2012; Cobbaut et al., 2017).</w:t>
      </w:r>
      <w:r>
        <w:br/>
      </w:r>
      <w:r>
        <w:t xml:space="preserve">Downstream signalling: maintains ERK1/2 activation, phosphorylates PI4KIIIβ and other Golgi substrates to regulate vesicle fission, mediates oxidative-stress-induced NF-κB activation, and enhances MMP-9 secretion to support invasion (Cobbaut et al., 2017; Navarro et al., 2014; Zhang et al., 2021).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CRT0066101 – ATP-competitive pan-PKD inhibitor; IC₅₀ ≈ 1 nM (PKD1) / 2.5 nM (PKD2); orally bioavailable and anti-tumour in vivo (Unknown Author(s), 2011).</w:t>
      </w:r>
      <w:r>
        <w:br/>
      </w:r>
      <w:r>
        <w:t xml:space="preserve">• CID755673 – non-ATP-competitive; biochemical IC₅₀ ≈ 200 nM for all PKD isoforms; limited PKC cross-reactivity (Unknown Author(s), 2011).</w:t>
      </w:r>
      <w:r>
        <w:br/>
      </w:r>
      <w:r>
        <w:t xml:space="preserve">• kb-NB142-70 – improved CID755673 analog; IC₅₀ ≈ 28 nM for PKD1 with higher potency toward PKD2/3; cellular IC₅₀ ≈ 2 µM (Unknown Author(s), 2011).</w:t>
      </w:r>
      <w:r>
        <w:br/>
      </w:r>
      <w:r>
        <w:t xml:space="preserve">• Imatinib – indirectly suppresses Tyr717 phosphorylation by inhibiting Abl (Cobbaut et al., 2017).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PRKD2 promotes survival and invasion of prostate-cancer cells and is linked to poor prognosis in several solid tumours (Azoitei et al., 2018; Zhang et al., 2021). In chronic myeloid leukaemia, BCR-Abl-mediated Tyr438 phosphorylation couples PRKD2 to NF-κB activation (Mihailovic et al., 2004; Cobbaut et al., 2017). PKD family inhibition mitigates pressure-overload-induced cardiac hypertrophy, although isoform redundancy complicates interpretation (Unknown Author(s), 2014). Ser876 autophosphorylation influences glioma cell proliferation and senescence (Bernhart et al., 2014).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Anti, –. (2009). Non-specific serine/threonine protein kinase. In Class 2 Transferases (pp. 1–123). Springer. https://doi.org/10.1007/978-3-540-85699-3_1</w:t>
      </w:r>
    </w:p>
    <w:p>
      <w:pPr>
        <w:pStyle w:val="BodyText"/>
      </w:pPr>
      <w:r>
        <w:t xml:space="preserve">Azoitei, N., Cobbaut, M., Becher, A., Van Lint, J., &amp; Seufferlein, T. (2018). Protein kinase D2: A versatile player in cancer biology. Oncogene, 37, 1263–1278. https://doi.org/10.1038/s41388-017-0052-8</w:t>
      </w:r>
    </w:p>
    <w:p>
      <w:pPr>
        <w:pStyle w:val="BodyText"/>
      </w:pPr>
      <w:r>
        <w:t xml:space="preserve">Bernhart, E., Damm, S., Heffeter, P., et al. (2014). Silencing of protein kinase D2 induces glioma cell senescence via p53-dependent and ‑independent pathways. Neuro-Oncology, 16, 933–945. https://doi.org/10.1093/neuonc/not303</w:t>
      </w:r>
    </w:p>
    <w:p>
      <w:pPr>
        <w:pStyle w:val="BodyText"/>
      </w:pPr>
      <w:r>
        <w:t xml:space="preserve">Cobbaut, M., Derua, R., Döppler, H., et al. (2017). Differential regulation of PKD isoforms in oxidative stress conditions through phosphorylation of a conserved Tyr in the P+1 loop. Scientific Reports, 7, 800. https://doi.org/10.1038/s41598-017-00800-w</w:t>
      </w:r>
    </w:p>
    <w:p>
      <w:pPr>
        <w:pStyle w:val="BodyText"/>
      </w:pPr>
      <w:r>
        <w:t xml:space="preserve">Datta, A., Yang, C.-R., Salhadar, K., et al. (2021). Phosphoproteomic identification of vasopressin-regulated protein kinases in collecting duct cells. British Journal of Pharmacology, 178, 1426–1444. https://doi.org/10.1111/bph.15352</w:t>
      </w:r>
    </w:p>
    <w:p>
      <w:pPr>
        <w:pStyle w:val="BodyText"/>
      </w:pPr>
      <w:r>
        <w:t xml:space="preserve">Ellwanger, K., &amp; Hausser, A. (2013). Physiological functions of protein kinase D in vivo. IUBMB Life, 65, 98–107. https://doi.org/10.1002/iub.1116</w:t>
      </w:r>
    </w:p>
    <w:p>
      <w:pPr>
        <w:pStyle w:val="BodyText"/>
      </w:pPr>
      <w:r>
        <w:t xml:space="preserve">Mihailovic, T., Marx, M., Auer, A., et al. (2004). Protein kinase D2 mediates activation of NF-κB by BCR-Abl in BCR-Abl⁺ human myeloid leukaemia cells. Cancer Research, 64, 8939–8944. https://doi.org/10.1158/0008-5472.CAN-04-0981</w:t>
      </w:r>
    </w:p>
    <w:p>
      <w:pPr>
        <w:pStyle w:val="BodyText"/>
      </w:pPr>
      <w:r>
        <w:t xml:space="preserve">Navarro, M. N., Goebel, J., Hukelmann, J., &amp; Cantrell, D. (2014). Quantitative phosphoproteomics of cytotoxic T cells reveals protein kinase D2-regulated networks. Molecular &amp; Cellular Proteomics, 13, 3544–3557. https://doi.org/10.1074/mcp.M113.037242</w:t>
      </w:r>
    </w:p>
    <w:p>
      <w:pPr>
        <w:pStyle w:val="BodyText"/>
      </w:pPr>
      <w:r>
        <w:t xml:space="preserve">Reinhardt, R., Truebestein, L., Schmidt, H. A., &amp; Leonard, T. A. (2020). It takes two to tango: Activation of protein kinase D by dimerization. BioEssays, 42, e2000222. https://doi.org/10.1002/bies.201900222</w:t>
      </w:r>
    </w:p>
    <w:p>
      <w:pPr>
        <w:pStyle w:val="BodyText"/>
      </w:pPr>
      <w:r>
        <w:t xml:space="preserve">Steinberg, S. (2012). Regulation of protein kinase D1 activity. Molecular Pharmacology, 81, 284–291. https://doi.org/10.1124/mol.111.075986</w:t>
      </w:r>
    </w:p>
    <w:p>
      <w:pPr>
        <w:pStyle w:val="BodyText"/>
      </w:pPr>
      <w:r>
        <w:t xml:space="preserve">Unknown Author(s). (2011). Targeting protein kinase D by novel small-molecule inhibitors and RNA interference in prostate cancer. [Study report].</w:t>
      </w:r>
    </w:p>
    <w:p>
      <w:pPr>
        <w:pStyle w:val="BodyText"/>
      </w:pPr>
      <w:r>
        <w:t xml:space="preserve">Unknown Author(s). (2014). Structural insight into protein kinase D small-molecule inhibition. [Study report].</w:t>
      </w:r>
    </w:p>
    <w:p>
      <w:pPr>
        <w:pStyle w:val="BodyText"/>
      </w:pPr>
      <w:r>
        <w:t xml:space="preserve">Unknown Author(s). (2023). Protein kinase D autoinhibition in trans regulates activation-loop autophosphorylation in cis. [Preprint].</w:t>
      </w:r>
    </w:p>
    <w:p>
      <w:pPr>
        <w:pStyle w:val="BodyText"/>
      </w:pPr>
      <w:r>
        <w:t xml:space="preserve">Zhang, X., Connelly, J., Chao, Y., &amp; Wang, Q. J. (2021). Multifaceted functions of protein kinase D in pathological processes and human diseases. Biomolecules, 11, 483. https://doi.org/10.3390/biom11030483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2025-07-03T21:45:13Z</dcterms:created>
  <dcterms:modified xsi:type="dcterms:W3CDTF">2025-07-03T21:45:13Z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