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MYLK2 (skeletal muscle myosin light-chain kinase; skMLCK) belongs to the myosin light-chain kinase (MLCK) family, a distinct subgroup of the Ca²⁺/calmodulin-dependent protein kinase (CaMK) group within the eukaryotic protein-kinase superfamily (Manning classification) (Chang et al., 2016; Herring et al., 2000; Josephson et al., 2011). The MLCK family comprises four paralogous genes: MLCK1 (smooth-muscle), MLCK2 (skeletal-muscle), MLCK3 (cardiac), and MLCK4 (ubiquitously expressed) (Chang et al., 2016). Orthologues have been documented across mammalian species in mouse, rat, guinea-pig and others (Wang et al., 2010; Yu et al., 2016).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L-seryl-[myosin regulatory light chain] ⇌ ADP + H⁺ + O-phospho-L-seryl-[myosin regulatory light chain] (principal phosphorylation site in skeletal muscle: Ser15) (Stull et al., 2011; Tsukamoto &amp; Kitakaze, 2013).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• Ca²⁺ and calmodulin: activation requires binding of (Ca²⁺)₄-calmodulin to the C-terminal regulatory segment (Josephson et al., 2011; Stull et al., 2011).</w:t>
      </w:r>
      <w:r>
        <w:br/>
      </w:r>
      <w:r>
        <w:t xml:space="preserve">• Mg²⁺: coordinates ATP and is essential for phosphotransfer (Stull et al., 2011; Temmerman et al., 2013).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Positional-scanning peptide arrays revealed a detailed P-5 to P+5 preference set and a position-specific scoring matrix for MYLK2 (Johnson et al., 2023). The explicit motif is reported in Supplementary Table 3 of that study.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MYLK2 is a monomeric kinase comprising:</w:t>
      </w:r>
      <w:r>
        <w:br/>
      </w:r>
      <w:r>
        <w:t xml:space="preserve">1. N-terminal segment of unknown function;</w:t>
      </w:r>
      <w:r>
        <w:br/>
      </w:r>
      <w:r>
        <w:t xml:space="preserve">2. Conserved bi-lobed catalytic core adopting the canonical kinase fold;</w:t>
      </w:r>
      <w:r>
        <w:br/>
      </w:r>
      <w:r>
        <w:t xml:space="preserve">3. C-terminal regulatory region containing overlapping autoinhibitory and calmodulin-binding sequences (Stull et al., 2011).</w:t>
      </w:r>
    </w:p>
    <w:p>
      <w:pPr>
        <w:pStyle w:val="BodyText"/>
      </w:pPr>
      <w:r>
        <w:t xml:space="preserve">AlphaFold model AF-Q9H1R3-F1 shows an intact activation loop, C-helix, and hydrophobic regulatory spine characteristic of an active kinase (Fang et al., 2023; Temmerman et al., 2013). Within the activation segment, MYLK2 (a DAPK/MAP4K-related kinase) carries an HF/LD motif cluster rather than the canonical HRD, and the DFG-Phe adopts an “in” conformation. In the predicted apo state, the autoinhibitory helix occludes the active site (Fang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Autoinhibition: the C-terminal regulatory segment blocks the catalytic cleft in the absence of Ca²⁺/calmodulin (Stull et al., 2011).</w:t>
      </w:r>
      <w:r>
        <w:br/>
      </w:r>
      <w:r>
        <w:t xml:space="preserve">• Activation: binding of (Ca²⁺)₄-calmodulin to the regulatory segment displaces the autoinhibitory sequence and unmasks the active site (Chang et al., 2016; Stull et al., 2011).</w:t>
      </w:r>
      <w:r>
        <w:br/>
      </w:r>
      <w:r>
        <w:t xml:space="preserve">• Inactivation: Ca²⁺ removal leads to slow dissociation of calmodulin and restoration of autoinhibition (Stull et al., 2011).</w:t>
      </w:r>
      <w:r>
        <w:br/>
      </w:r>
      <w:r>
        <w:t xml:space="preserve">• Net RLC phosphorylation is determined by the balance between MYLK2 and myosin light-chain phosphatase (MLCP) activities (Stull et al., 2011; Thiriet, 2013).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MYLK2 is a Ca²⁺/calmodulin-dependent Ser/Thr kinase that is highly enriched in skeletal muscle, especially fast-twitch fibres (Stull et al., 2011; Kamm &amp; Stull, 2011). By phosphorylating the myosin regulatory light chain, MYLK2:</w:t>
      </w:r>
      <w:r>
        <w:br/>
      </w:r>
      <w:r>
        <w:t xml:space="preserve">• Modulates cross-bridge kinetics and increases Ca²⁺ sensitivity of contraction (Stull et al., 2011).</w:t>
      </w:r>
      <w:r>
        <w:br/>
      </w:r>
      <w:r>
        <w:t xml:space="preserve">• Contributes to sarcomere assembly and organization (Seguchi et al., 2007).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Experimental ATP-competitive MLCK inhibitors show variable potency toward MYLK2:</w:t>
      </w:r>
      <w:r>
        <w:br/>
      </w:r>
      <w:r>
        <w:t xml:space="preserve">• ML-7 and ML-9 inhibit human MYLK2 by 7 % and 17 %, respectively, in kinase panels (Kumar et al., 2024; Xiong et al., 2017).</w:t>
      </w:r>
      <w:r>
        <w:br/>
      </w:r>
      <w:r>
        <w:t xml:space="preserve">• KT5926 (Ki ≈ 18 nM) is potent but not commercially available (Kumar et al., 2024).</w:t>
      </w:r>
      <w:r>
        <w:br/>
      </w:r>
      <w:r>
        <w:t xml:space="preserve">• A nonapeptide inhibitor (rkkykyrrk-NH₂, D-PIK) reduces RLC phosphorylation in cells (Yu et al., 2016).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or missense variants in MYLK2 have been linked to hypertrophic and dilated cardiomyopathy, although LVNC association is weak (Li et al., 2019; Qin et al., 2021). The nonsense variant p.E380X is predicted to trigger nonsense-mediated decay and has been observed in familial DCM (Qin et al., 2021).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Chang, A. N., Mahajan, P., Knapp, S., Barton, H., Sweeney, H. L., Kamm, K. E., &amp; Stull, J. T. (2016). Cardiac myosin light chain is phosphorylated by Ca²⁺/calmodulin-dependent and ‑independent kinase activities. Proceedings of the National Academy of Sciences, 113, E3824–E3833. https://doi.org/10.1073/pnas.1600633113</w:t>
      </w:r>
    </w:p>
    <w:p>
      <w:pPr>
        <w:pStyle w:val="BodyText"/>
      </w:pPr>
      <w:r>
        <w:t xml:space="preserve">Fang, X., Bogdanov, V., Davis, J. P., &amp; Kekenes-Huskey, P. M. (2023). Molecular insights into the MLCK activation by CaM. Journal of Chemical Information and Modeling, 63, 7487–7498. https://doi.org/10.1021/acs.jcim.3c00954</w:t>
      </w:r>
    </w:p>
    <w:p>
      <w:pPr>
        <w:pStyle w:val="BodyText"/>
      </w:pPr>
      <w:r>
        <w:t xml:space="preserve">Herring, B. P., Dixon, S., &amp; Gallagher, P. J. (2000). Smooth muscle myosin light chain kinase expression in cardiac and skeletal muscle. American Journal of Physiology-Cell Physiology, 279, C1656–C1664. https://doi.org/10.1152/ajpcell.2000.279.5.C1656</w:t>
      </w:r>
    </w:p>
    <w:p>
      <w:pPr>
        <w:pStyle w:val="BodyText"/>
      </w:pPr>
      <w:r>
        <w:t xml:space="preserve">Hong, F., Haldeman, B. D., Jackson, D., Carter, M., Baker, J. E., &amp; Cremo, C. R. (2011). Biochemistry of smooth muscle myosin light chain kinase. Archives of Biochemistry and Biophysics, 510(2), 135–146. https://doi.org/10.1016/j.abb.2011.04.018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Josephson, M. P., Sikkink, L. A., Penheiter, A., Burghardt, T., &amp; Ajtai, K. (2011). Smooth muscle myosin light chain kinase efficiently phosphorylates Serine 15 of cardiac myosin regulatory light chain. Biochemical and Biophysical Research Communications, 416, 367–371. https://doi.org/10.1016/j.bbrc.2011.11.044</w:t>
      </w:r>
    </w:p>
    <w:p>
      <w:pPr>
        <w:pStyle w:val="BodyText"/>
      </w:pPr>
      <w:r>
        <w:t xml:space="preserve">Kamm, K. E., &amp; Stull, J. T. (2011). Signaling to myosin regulatory light chain in sarcomeres. The Journal of Biological Chemistry, 286, 9941–9947. https://doi.org/10.1074/jbc.R110.198697</w:t>
      </w:r>
    </w:p>
    <w:p>
      <w:pPr>
        <w:pStyle w:val="BodyText"/>
      </w:pPr>
      <w:r>
        <w:t xml:space="preserve">Kumar, G., Agarwala, P. K., Srivatsav, A. T., Ravula, A., Ashmitha, G., Balakrishnan, S., … Narayan, R. (2024). Identification and benchmarking of Myokinasib-II as a selective and potent chemical probe for exploring MLCK1 inhibition. ACS Chemical Biology, 19, 2165–2175. https://doi.org/10.1021/acschembio.4c00336</w:t>
      </w:r>
    </w:p>
    <w:p>
      <w:pPr>
        <w:pStyle w:val="BodyText"/>
      </w:pPr>
      <w:r>
        <w:t xml:space="preserve">Li, C.-J., Chen, C.-S., Yiang, G.-T., Tsai, A., Liao, W.-T., &amp; Wu, M.-Y. (2019). Advanced evolution of pathogenesis concepts in cardiomyopathies. Journal of Clinical Medicine, 8(4), 520. https://doi.org/10.3390/jcm8040520</w:t>
      </w:r>
    </w:p>
    <w:p>
      <w:pPr>
        <w:pStyle w:val="BodyText"/>
      </w:pPr>
      <w:r>
        <w:t xml:space="preserve">Qin, X., Li, P., Qu, H., Liu, Y., Xia, Y., Chen, S., … Jian, Z. (2021). FLNC and MYLK2 gene mutations in a Chinese family with different phenotypes of cardiomyopathy. International Heart Journal. https://doi.org/10.1101/2020.05.10.20097519</w:t>
      </w:r>
    </w:p>
    <w:p>
      <w:pPr>
        <w:pStyle w:val="BodyText"/>
      </w:pPr>
      <w:r>
        <w:t xml:space="preserve">Seguchi, O., Takashima, S., Yamazaki, S., Asakura, M., Asano, Y., Shintani, Y., … Kitakaze, M. (2007). A cardiac myosin light chain kinase regulates sarcomere assembly in the vertebrate heart. Journal of Clinical Investigation, 117, 2812–2824. https://doi.org/10.1172/JCI30804</w:t>
      </w:r>
    </w:p>
    <w:p>
      <w:pPr>
        <w:pStyle w:val="BodyText"/>
      </w:pPr>
      <w:r>
        <w:t xml:space="preserve">Stull, J. T., Kamm, K. E., &amp; Vandenboom, R. (2011). Myosin light chain kinase and the role of myosin light chain phosphorylation in skeletal muscle. Archives of Biochemistry and Biophysics, 510(2), 120–128. https://doi.org/10.1016/j.abb.2011.01.017</w:t>
      </w:r>
    </w:p>
    <w:p>
      <w:pPr>
        <w:pStyle w:val="BodyText"/>
      </w:pPr>
      <w:r>
        <w:t xml:space="preserve">Temmerman, K., Simon, B., &amp; Wilmanns, M. (2013). Structural and functional diversity in the activity and regulation of DAPK-related protein kinases. The FEBS Journal. https://doi.org/10.1111/febs.12384</w:t>
      </w:r>
    </w:p>
    <w:p>
      <w:pPr>
        <w:pStyle w:val="BodyText"/>
      </w:pPr>
      <w:r>
        <w:t xml:space="preserve">Thiriet, M. (2013). Cytoplasmic protein serine/threonine kinases. In Biomathematical and biomechanical modeling of the circulatory and ventilatory systems (pp. 175–310). Springer. https://doi.org/10.1007/978-1-4614-4370-4_5</w:t>
      </w:r>
    </w:p>
    <w:p>
      <w:pPr>
        <w:pStyle w:val="BodyText"/>
      </w:pPr>
      <w:r>
        <w:t xml:space="preserve">Tsukamoto, O., &amp; Kitakaze, M. (2013). Biochemical and physiological regulation of cardiac myocyte contraction by cardiac-specific myosin light chain kinase. Circulation Journal, 77, 2218–2225. https://doi.org/10.1253/circj.CJ-13-0627</w:t>
      </w:r>
    </w:p>
    <w:p>
      <w:pPr>
        <w:pStyle w:val="BodyText"/>
      </w:pPr>
      <w:r>
        <w:t xml:space="preserve">Wang, L., Guo, D.-C., Cao, J., Gong, L., Kamm, K. E., Regalado, E., … Milewicz, D. M. (2010). Mutations in myosin light chain kinase cause familial aortic dissections. American Journal of Human Genetics, 87(5), 701–707. https://doi.org/10.1016/j.ajhg.2010.10.006</w:t>
      </w:r>
    </w:p>
    <w:p>
      <w:pPr>
        <w:pStyle w:val="BodyText"/>
      </w:pPr>
      <w:r>
        <w:t xml:space="preserve">Xiong, Y., Wang, C., Shi, L., Wang, L., Zhou, Z., Chen, D., … Guo, H.-S. (2017). Myosin light chain kinase: a potential target for treatment of inflammatory diseases. Frontiers in Pharmacology, 8, 292. https://doi.org/10.3389/fphar.2017.00292</w:t>
      </w:r>
    </w:p>
    <w:p>
      <w:pPr>
        <w:pStyle w:val="BodyText"/>
      </w:pPr>
      <w:r>
        <w:t xml:space="preserve">Yu, H., Chakravorty, S., Song, W., &amp; Ferenczi, M. A. (2016). Phosphorylation of the regulatory light chain of myosin in striated muscle: methodological perspectives. European Biophysics Journal, 45, 779–805. https://doi.org/10.1007/s00249-016-1128-z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2025-07-03T21:12:17Z</dcterms:created>
  <dcterms:modified xsi:type="dcterms:W3CDTF">2025-07-03T21:12:17Z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