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STE20-like serine/threonine-protein kinase (SLK) is a member of the germinal-centre kinase sub-group V (GCK-V) within the STE20 branch of the human kinome (Al-Zahrani et al., 2013).</w:t>
      </w:r>
      <w:r>
        <w:br/>
      </w:r>
      <w:r>
        <w:t xml:space="preserve">Its catalytic domain is most closely related to lymphocyte-oriented kinase (LOK/STK10; 74 % sequence identity) and shows lower identity to MST1 (26 %), defining these proteins as its nearest paralogues (Al-Zahrani et al., 2013).</w:t>
      </w:r>
      <w:r>
        <w:br/>
      </w:r>
      <w:r>
        <w:t xml:space="preserve">Documented orthologues span fungi to mammals, including yeast Ste20, Drosophila Slik, zebrafish slk, mouse Slk, guinea-pig Slk and human SLK (Luhovy et al., 2012).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⇌ ADP + protein-O-phospho-Ser/Thr (Sabourin &amp; Rudnicki, 1999).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is Mg²⁺-dependent; in-vitro autophosphorylation was performed in the presence of 10 mM MgCl₂ (Pike et al., 2008).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 global phosphorylation consensus has not been defined. SLK autophosphorylates non-consensus residues within its activation segment (Pike et al., 2008). Verified substrates include Ezrin Thr567, RhoA Ser188, Paxillin Ser250 (Cybulsky et al., 2017), the activation loop of Polo-like kinase-1 (Al-Zahrani et al., 2013) and, in kinase assays, histone H1 and myelin basic protein (Sabourin &amp; Rudnicki, 1999).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kinase domain (aa 1–338) that contains the Ste20 signature TPYWMAPE, a central coiled-coil dimerisation region (aa 339–788) and a C-terminal AT1-46 homology (ATH) autoinhibitory domain (aa 867–1178) (Al-Zahrani et al., 2013).</w:t>
      </w:r>
      <w:r>
        <w:br/>
      </w:r>
      <w:r>
        <w:t xml:space="preserve">Crystal structures of the catalytic domain (PDB: 2J51, 2JFM, 2JFL, 2UV2) reveal an activation-segment-exchanged homodimer in which the P + 1 loop of each protomer inserts into the partner active site to enable trans-autophosphorylation (Pike et al., 2008). Key catalytic motifs include VAIK Lys63, the HRD triad and a DFG motif; the αC-helix and hydrophobic spines adopt an active conformation (Cybulsky et al., 2017).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Autophosphorylation on Thr183, Ser189 and Thr193 is required for activity (Cybulsky et al., 2017).</w:t>
      </w:r>
      <w:r>
        <w:br/>
      </w:r>
      <w:r>
        <w:t xml:space="preserve">• Caspase-3 cleavage after Asp436 separates the kinase and ATH fragments during apoptosis (Al-Zahrani et al., 2013).</w:t>
      </w:r>
      <w:r>
        <w:br/>
      </w:r>
      <w:r>
        <w:t xml:space="preserve">• Hyperphosphorylation by casein kinase II downstream of Src reduces activity (Luhovy et al., 2012).</w:t>
      </w:r>
    </w:p>
    <w:p>
      <w:pPr>
        <w:pStyle w:val="BodyText"/>
      </w:pPr>
      <w:r>
        <w:t xml:space="preserve">Conformational and allosteric control</w:t>
      </w:r>
      <w:r>
        <w:br/>
      </w:r>
      <w:r>
        <w:t xml:space="preserve">• Constitutive homodimerisation via the coiled-coil permits activation-segment trans-autophosphorylation (Cybulsky et al., 2017).</w:t>
      </w:r>
      <w:r>
        <w:br/>
      </w:r>
      <w:r>
        <w:t xml:space="preserve">• The ATH domain imposes autoinhibition; binding of LIM-domain-binding proteins Ldb1/2 stabilises this inactive state (Al-Zahrani et al., 2013).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ubiquitous, with high levels in muscle, neuronal and renal epithelial tissues; whole-body knockout in mice is embryonic lethal (Cybulsky et al., 2017).</w:t>
      </w:r>
    </w:p>
    <w:p>
      <w:pPr>
        <w:pStyle w:val="BodyText"/>
      </w:pPr>
      <w:r>
        <w:t xml:space="preserve">Biological roles</w:t>
      </w:r>
      <w:r>
        <w:br/>
      </w:r>
      <w:r>
        <w:t xml:space="preserve">• Apoptosis: activates ASK1–p38 and JNK1 pathways leading to caspase activation (Al-Zahrani et al., 2013; Sabourin &amp; Rudnicki, 1999).</w:t>
      </w:r>
      <w:r>
        <w:br/>
      </w:r>
      <w:r>
        <w:t xml:space="preserve">• Cytoskeleton dynamics: phosphorylates ezrin, paxillin and RhoA to drive actin stress-fiber dissolution and focal-adhesion turnover (Cybulsky et al., 2017).</w:t>
      </w:r>
      <w:r>
        <w:br/>
      </w:r>
      <w:r>
        <w:t xml:space="preserve">• Cell-cycle control: phosphorylates and activates Polo-like kinase-1, promoting G2/M progression and centrosome functions (Al-Zahrani et al., 2013).</w:t>
      </w:r>
      <w:r>
        <w:br/>
      </w:r>
      <w:r>
        <w:t xml:space="preserve">• Migration and invasion: acts downstream of HER2/Neu via FAK/Src complexes to enhance chemotaxis (Al-Zahrani et al., 2013).</w:t>
      </w:r>
      <w:r>
        <w:br/>
      </w:r>
      <w:r>
        <w:t xml:space="preserve">• Renal physiology: elevated SLK activity and ezrin phosphorylation correlate with podocyte injury and proteinuria (Cybulsky et al., 2017).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Type I ATP-competitive compounds K00546 and K00606a bind directly to the catalytic pocket and are co-crystallised with the kinase domain (Pike et al., 2008).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Increased SLK activity is observed in experimental glomerulonephritis models (Cybulsky et al., 2017). Overexpression of SLK induces mitotic catastrophe and cell death, underscoring the need for tight regulation (Al-Zahrani et al., 2013).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Al-Zahrani, A. M., et al. (2013). [Article title not provided]. Cell Adhesion &amp; Migration.</w:t>
      </w:r>
      <w:r>
        <w:br/>
      </w:r>
      <w:r>
        <w:t xml:space="preserve">Cybulsky, M. I., et al. (2017). [Article title not provided]. PLOS ONE.</w:t>
      </w:r>
      <w:r>
        <w:br/>
      </w:r>
      <w:r>
        <w:t xml:space="preserve">Luhovy, O., et al. (2012). [Article title not provided]. Journal of Biological Chemistry.</w:t>
      </w:r>
      <w:r>
        <w:br/>
      </w:r>
      <w:r>
        <w:t xml:space="preserve">Pike, K. A., et al. (2008). [Article title not provided]. EMBO Journal.</w:t>
      </w:r>
      <w:r>
        <w:br/>
      </w:r>
      <w:r>
        <w:t xml:space="preserve">Sabourin, L. A., &amp; Rudnicki, M. A. (1999). [Article title not provided]. Oncogene.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2025-07-03T19:48:50Z</dcterms:created>
  <dcterms:modified xsi:type="dcterms:W3CDTF">2025-07-03T19:48:50Z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