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Vertebrate orthologs have been verified in Homo sapiens (SRMS), Mus musculus (Srm), Rattus norvegicus (Srm), Danio rerio (srm) and Gallus gallus (srm) (McClendon &amp; Miller, 2020, pp. 10–11). Within the human kinome, SRMS is placed in the Tyrosine Kinase (TK) group, BRK family, together with PTK6/BRK and FRK/PTK5 (Goel, Kim, &amp; Lukong, 2023, pp. 1–2). Although its overall SH3–SH2–kinase domain organisation resembles Src-family kinases, SRMS lacks N-terminal myristoylation as well as the C-terminal regulatory tail typical of Src-family members (McClendon &amp; Miller, 2020, pp. 1–3).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[protein]-L-tyrosine ⇌ ADP + [protein]-O-phospho-L-tyrosine (McClendon &amp; Miller, 2020, pp. 1–3).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a divalent cation, either Mg²⁺ or Mn²⁺ (Brown, 2014, pp. 28–35).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Peptide studies identified preferential phosphorylation of Tyr within XIYX and YXXV motifs, with Lys or Arg frequently positioned −2 or −4 relative to the target tyrosine (McClendon &amp; Miller, 2020, pp. 5–7).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organisation: unique N-terminal extension (~50 aa) → SH3 → SH2 → kinase catalytic domain (Goel, Miah, et al., 2013, pp. 1–2).</w:t>
      </w:r>
      <w:r>
        <w:br/>
      </w:r>
      <w:r>
        <w:t xml:space="preserve">Key catalytic elements: Lys258 (ATP binding), Tyr380 (activation-loop autophosphorylation), and Trp223 (intramolecular stabilisation) (McClendon &amp; Miller, 2020, pp. 3–5).</w:t>
      </w:r>
      <w:r>
        <w:br/>
      </w:r>
      <w:r>
        <w:t xml:space="preserve">A homology model based on chicken Src (PDB 2H8H) predicts the canonical bilobed kinase fold but without the Src-type C-terminal tail (McClendon &amp; Miller, 2020, pp. 3–5). The N-terminal region forms an amphipathic helix essential for enzymatic activity and punctate cytoplasmic localisation (Goel, Kim, &amp; Lukong, 2023, pp. 2–4).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Activation is achieved through autophosphorylation of Tyr380 (McClendon &amp; Miller, 2020, pp. 3–5). Mutating Trp223 to Ala or deleting the first 50 residues eliminates kinase activity and disrupts punctate localisation (McClendon &amp; Miller, 2020, pp. 3–5; Goel, Miah, et al., 2013, pp. 1–2). Because SRMS lacks the C-terminal inhibitory tyrosine found in Src-family kinases, regulation relies on N-terminal intramolecular interactions (McClendon &amp; Miller, 2020, pp. 1–3).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Expression: elevated in breast carcinoma and correlates with higher tumour grade; lower in normal mammary epithelium; detectable in lung, testis, liver, epidermis and keratinocytes (Goel, Miah, et al., 2013, pp. 12–14; McClendon &amp; Miller, 2020, pp. 1–3, 7–10).</w:t>
      </w:r>
      <w:r>
        <w:br/>
      </w:r>
      <w:r>
        <w:t xml:space="preserve">Verified substrates: DOK1; Sam68/KHDRBS1 (EGF-dependent); Vimentin; OTUB1 Tyr26; FKBP51 Tyr54; PTK6/BRK Tyr447 (Goel, Miah, et al., 2013, pp. 12–14; McClendon &amp; Miller, 2020, pp. 5–7; Goel, Kim, &amp; Lukong, 2023, pp. 4–6).</w:t>
      </w:r>
      <w:r>
        <w:br/>
      </w:r>
      <w:r>
        <w:t xml:space="preserve">Pathway roles: modulates EGF signalling via Sam68 phosphorylation; inhibits autophagy upstream of autophagosome formation; stabilises mTORC1 through the OTUB1–RPTOR axis; suppresses MKK4–JNK signalling, contributing to platinum resistance in ovarian cancer (Goel, Kim, &amp; Lukong, 2023, pp. 4–9; McClendon &amp; Miller, 2020, pp. 5–7).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Dasatinib inhibits SRMS in vitro (McClendon &amp; Miller, 2020, pp. 3–5).</w:t>
      </w:r>
      <w:r>
        <w:br/>
      </w:r>
      <w:r>
        <w:t xml:space="preserve">Ibrutinib reduces SRMS-mediated phosphorylation in breast-cancer cells (Goel, Kim, &amp; Lukong, 2023, pp. 2–4).</w:t>
      </w:r>
      <w:r>
        <w:br/>
      </w:r>
      <w:r>
        <w:t xml:space="preserve">PLX4720 has been identified as an SRMS inhibitor that enhances platinum-based chemotherapy efficacy (Goel, Kim, &amp; Lukong, 2023, pp. 8–9).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The SRMS gene maps to chromosome 20q13.33, adjacent to PTK6; this locus is frequently amplified in breast and gastric cancers (Goel, Kim, &amp; Lukong, 2023, pp. 1–2). Srms-null mice are viable and display no overt phenotype (McClendon &amp; Miller, 2020, pp. 7–10).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Brown, A. F. (2014). Novel strategies for the purification and inhibition of protein-tyrosine kinases (pp. 28–35). https://doi.org/10.23860/diss-brown-alexander-2014</w:t>
      </w:r>
    </w:p>
    <w:p>
      <w:pPr>
        <w:pStyle w:val="BodyText"/>
      </w:pPr>
      <w:r>
        <w:t xml:space="preserve">Goel, R. K., Kim, N., &amp; Lukong, K. E. (2023). Seeking a better understanding of the non-receptor tyrosine kinase, SRMS. Heliyon, 9, e16421. https://doi.org/10.1016/j.heliyon.2023.e16421</w:t>
      </w:r>
    </w:p>
    <w:p>
      <w:pPr>
        <w:pStyle w:val="BodyText"/>
      </w:pPr>
      <w:r>
        <w:t xml:space="preserve">Goel, R. K., Miah, S., Black, K., Kalra, N., Dai, C., &amp; Lukong, K. E. (2013). The unique N-terminal region of SRMS regulates enzymatic activity and phosphorylation of its novel substrate Docking Protein 1. The FEBS Journal. https://doi.org/10.1111/febs.12420</w:t>
      </w:r>
    </w:p>
    <w:p>
      <w:pPr>
        <w:pStyle w:val="BodyText"/>
      </w:pPr>
      <w:r>
        <w:t xml:space="preserve">McClendon, C. J., &amp; Miller, W. T. (2020). Structure, function, and regulation of the SRMS tyrosine kinase. International Journal of Molecular Sciences, 21, 4233. https://doi.org/10.3390/ijms21124233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2025-07-04T00:00:49Z</dcterms:created>
  <dcterms:modified xsi:type="dcterms:W3CDTF">2025-07-04T00:00:49Z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