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Serine/threonine-protein kinase PLK3 is one of five mammalian Polo-like kinases (PLK1-PLK5) within the CMGC kinase group (Helmke et al., 2016; Lowery et al., 2005; Xu et al., 2012). It shares ≈50 % overall sequence similarity with PLK1 and ~33–36 % identity with other family members, reflecting divergence from a single ancestral PLK gene (Salvi et al., 2012; Lowery et al., 2005).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L-seryl/threonyl-[protein] ⇌ ADP + H⁺ + O-phospho-L-seryl/threonyl-[protein] (Helmke et al., 2016; Salvi et al., 2012).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Activity requires a divalent metal ion, typically Mg²⁺ or Mn²⁺ (Helmke et al., 2016; Salvi et al., 2012).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• Peptide library profiling identified a proline-directed motif with an obligatory Pro at +1 and a preference for small residues upstream (Johnson et al., 2023).</w:t>
      </w:r>
      <w:r>
        <w:br/>
      </w:r>
      <w:r>
        <w:t xml:space="preserve">• Independent work defined PLK3 as acidophilic, favouring E(D/E)xS/Tx(D/E) with acidic residues at −3 and +2, and showing no negative selection against +1 Pro (Salvi et al., 2012).</w:t>
      </w:r>
      <w:r>
        <w:br/>
      </w:r>
      <w:r>
        <w:t xml:space="preserve">• Substrate engagement is further directed by the C-terminal Polo-box domain (PBD), which binds pre-phosphorylated Ser/Thr motifs (Helmke et al., 2016).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PLK3 comprises an N-terminal kinase domain (KD) and a C-terminal PBD formed by two polo-boxes (PB1/PB2) linked by a flexible spacer (Helmke et al., 2016; Wyatt &amp; McInnes, 2024).</w:t>
      </w:r>
      <w:r>
        <w:br/>
      </w:r>
      <w:r>
        <w:t xml:space="preserve">• Catalytic KD: conserved Lys91 in the ATP pocket, ordered C-helix and hydrophobic spine (Perez et al., 2020; Wyatt &amp; McInnes, 2024).</w:t>
      </w:r>
      <w:r>
        <w:br/>
      </w:r>
      <w:r>
        <w:t xml:space="preserve">• Regulatory activation loop contains Thr270 (alternatively reported as Thr219) (Helmke et al., 2016; Perez et al., 2020).</w:t>
      </w:r>
      <w:r>
        <w:br/>
      </w:r>
      <w:r>
        <w:t xml:space="preserve">• Substrate-binding cleft is positively charged (His149, Lys145, Lys152) to complement acidic motifs (Salvi et al., 2012).</w:t>
      </w:r>
      <w:r>
        <w:br/>
      </w:r>
      <w:r>
        <w:t xml:space="preserve">• Crystal structure of residues 52–332 bound to a small-molecule inhibitor has been solved (Wyatt &amp; McInnes, 2024).</w:t>
      </w:r>
      <w:r>
        <w:br/>
      </w:r>
      <w:r>
        <w:t xml:space="preserve">• PBD mediates substrate docking, subcellular targeting and autoinhibition of the KD (Helmke et al., 2016).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Transcriptional induction by the tumour-suppressor p53 after ionising radiation (Helmke et al., 2016).</w:t>
      </w:r>
      <w:r>
        <w:br/>
      </w:r>
      <w:r>
        <w:t xml:space="preserve">• mRNA stability controlled by tristetraprolin (TTP) (Helmke et al., 2016).</w:t>
      </w:r>
      <w:r>
        <w:br/>
      </w:r>
      <w:r>
        <w:t xml:space="preserve">• Activation-loop phosphorylation on Thr270/Thr219; dephosphorylated by protein phosphatase 6 (PP6) (Helmke et al., 2016; Perez et al., 2020).</w:t>
      </w:r>
      <w:r>
        <w:br/>
      </w:r>
      <w:r>
        <w:t xml:space="preserve">• DNA damage-dependent activation requires ATM and can involve CHEK2 (Helmke et al., 2016; van de Weerdt &amp; Medema, 2006).</w:t>
      </w:r>
      <w:r>
        <w:br/>
      </w:r>
      <w:r>
        <w:t xml:space="preserve">• Autoinhibition relieved when the PBD binds a phospho-substrate (Helmke et al., 2016).</w:t>
      </w:r>
      <w:r>
        <w:br/>
      </w:r>
      <w:r>
        <w:t xml:space="preserve">• Predicted PEST motifs may target PLK3 for SCF-mediated proteolysis (Helmke et al., 2016).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Stress-responsive kinase implicated in cell-cycle control (especially G1/S), DNA damage response, apoptosis and Golgi fragmentation (Helmke et al., 2016; Wyatt &amp; McInnes, 2024).</w:t>
      </w:r>
      <w:r>
        <w:br/>
      </w:r>
      <w:r>
        <w:t xml:space="preserve">• Expression peaks in late S/G2, though protein levels remain comparatively stable (Helmke et al., 2016; van de Weerdt &amp; Medema, 2006).</w:t>
      </w:r>
      <w:r>
        <w:br/>
      </w:r>
      <w:r>
        <w:t xml:space="preserve">• Localises to cytoplasm, nucleus, centrosomes, spindle poles, membranes and Golgi (Helmke et al., 2016; Strebhardt, 2010).</w:t>
      </w:r>
      <w:r>
        <w:br/>
      </w:r>
      <w:r>
        <w:t xml:space="preserve">• Reported substrates: p53 Ser20, CHEK2 Ser73, CDC25A Thr80/Ser513/Ser519, CDC25C Ser191/Ser198/Ser216, HIF-1α, PTEN, VRK1 (Helmke et al., 2016; Xu et al., 2012; Wyatt &amp; McInnes, 2024).</w:t>
      </w:r>
      <w:r>
        <w:br/>
      </w:r>
      <w:r>
        <w:t xml:space="preserve">• Positive feedback with p53 helps drive G1/S progression (Helmke et al., 2016).</w:t>
      </w:r>
      <w:r>
        <w:br/>
      </w:r>
      <w:r>
        <w:t xml:space="preserve">• Mouse knockout studies suggest PLK3 is dispensable for several stress responses (Perez et al., 2020).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• ATP-competitive PLK1 inhibitors such as volasertib cross-react with PLK3 due to KD conservation (Helmke et al., 2016).</w:t>
      </w:r>
      <w:r>
        <w:br/>
      </w:r>
      <w:r>
        <w:t xml:space="preserve">• PBD-directed inhibitor poloxin (thymoquinone derivative) inhibits PLK3 (IC₅₀ ≈ 53.9 µM); purpurogallin is inactive (Liu, 2015).</w:t>
      </w:r>
      <w:r>
        <w:br/>
      </w:r>
      <w:r>
        <w:t xml:space="preserve">• Highly selective PLK3 inhibitors remain undeveloped (Helmke et al., 2016).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PLK3 is generally viewed as a tumour suppressor, contrasting with oncogenic PLK1 (Helmke et al., 2016; Strebhardt, 2010). Loss of expression via promoter hypermethylation or allelic loss (chromosome 1p34-36) occurs in hepatocellular, lung, head-and-neck and neuroblastoma tumours and associates with poor prognosis; Plk3-deficient mice develop spontaneous cancers, though clinical data are variable (Helmke et al., 2016; Strebhardt, 2010).</w:t>
      </w:r>
    </w:p>
    <w:bookmarkEnd w:id="17"/>
    <w:bookmarkStart w:id="1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Helmke, C., Becker, S., &amp; Strebhardt, K. (2016). The role of PLK3 in oncogenesis. Oncogene, 35, 135–147. https://doi.org/10.1038/onc.2015.105</w:t>
      </w:r>
    </w:p>
    <w:p>
      <w:pPr>
        <w:pStyle w:val="BodyText"/>
      </w:pPr>
      <w:r>
        <w:t xml:space="preserve">Johnson, J. L., Yaron, T. M., Huntsman, E. M., Kerelsky, A., Song, J., Regev, A., … Cantley, L. C. (2023). An atlas of substrate specificities for the human serine/threonine kinome. Nature, 613, 759–766. https://doi.org/10.1038/s41586-022-05575-3</w:t>
      </w:r>
    </w:p>
    <w:p>
      <w:pPr>
        <w:pStyle w:val="BodyText"/>
      </w:pPr>
      <w:r>
        <w:t xml:space="preserve">Lowery, D. M., Lim, D., &amp; Yaffe, M. B. (2005). Structure and function of polo-like kinases. Oncogene, 24, 248–259. https://doi.org/10.1038/sj.onc.1208280</w:t>
      </w:r>
    </w:p>
    <w:p>
      <w:pPr>
        <w:pStyle w:val="BodyText"/>
      </w:pPr>
      <w:r>
        <w:t xml:space="preserve">Liu, X. (2015). Targeting polo-like kinases: a promising therapeutic approach for cancer treatment. Translational Oncology, 8, 185–195. https://doi.org/10.1016/j.tranon.2015.03.010</w:t>
      </w:r>
    </w:p>
    <w:p>
      <w:pPr>
        <w:pStyle w:val="BodyText"/>
      </w:pPr>
      <w:r>
        <w:t xml:space="preserve">Perez, C. A., Palek, M., Stolarova, L., von Morgen, P., &amp; Macurek, L. (2020). Phosphorylation of PLK3 is controlled by protein phosphatase 6. Cells, 9, 1506. https://doi.org/10.3390/cells9061506</w:t>
      </w:r>
    </w:p>
    <w:p>
      <w:pPr>
        <w:pStyle w:val="BodyText"/>
      </w:pPr>
      <w:r>
        <w:t xml:space="preserve">Salvi, M., Trashi, E., Cozza, G., Franchin, C., Arrigoni, G., &amp; Pinna, L. A. (2012). Investigation on PLK2 and PLK3 substrate recognition. Biochimica et Biophysica Acta-Proteins and Proteomics, 1824, 1366–1373. https://doi.org/10.1016/j.bbapap.2012.07.003</w:t>
      </w:r>
    </w:p>
    <w:p>
      <w:pPr>
        <w:pStyle w:val="BodyText"/>
      </w:pPr>
      <w:r>
        <w:t xml:space="preserve">Strebhardt, K. (2010). Multifaceted polo-like kinases: drug targets and antitargets for cancer therapy. Nature Reviews Drug Discovery, 9, 643–660. https://doi.org/10.1038/nrd3184</w:t>
      </w:r>
    </w:p>
    <w:p>
      <w:pPr>
        <w:pStyle w:val="BodyText"/>
      </w:pPr>
      <w:r>
        <w:t xml:space="preserve">van de Weerdt, B. C. M., &amp; Medema, R. H. (2006). Polo-like kinases: a team in control of the division. Cell Cycle, 5, 853–864. https://doi.org/10.4161/cc.5.8.2692</w:t>
      </w:r>
    </w:p>
    <w:p>
      <w:pPr>
        <w:pStyle w:val="BodyText"/>
      </w:pPr>
      <w:r>
        <w:t xml:space="preserve">Wyatt, M. D., &amp; McInnes, C. (2024). Insights into the structural regulation of polo-like kinase activity using AlphaFold. bioRxiv. https://doi.org/10.1101/2024.10.21.618045</w:t>
      </w:r>
    </w:p>
    <w:p>
      <w:pPr>
        <w:pStyle w:val="BodyText"/>
      </w:pPr>
      <w:r>
        <w:t xml:space="preserve">Xu, D., Wang, Q., Jiang, Y., Zhang, Y., Vega-Saenz de Miera, E., Osman, I., &amp; Dai, W. (2012). Roles of polo-like kinase 3 in suppressing tumor angiogenesis. Experimental Hematology &amp; Oncology, 1, 5. https://doi.org/10.1186/2162-3619-1-5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2025-07-03T22:10:58Z</dcterms:created>
  <dcterms:modified xsi:type="dcterms:W3CDTF">2025-07-03T22:10:58Z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