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Not assigned – NRBP2 is a catalytically inactive pseudokinase (yang2024targetingtheparalog; jacobsen2017thesecretlife).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Nuclear receptor-binding protein 2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NRBP2; Nuclear receptor binding protein 2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Vertebrate-restricted paralogue that arose from duplication of an ancestral NRBP locus. Orthologues occur in bony fish, amphibians, reptiles, birds and mammals, whereas invertebrates retain a single NRBP1-like gene (yang2024targetingtheparalog). NRBP2 sequences form a well-supported monophyletic clade that is evolutionarily distinct from NRBP1 and display an elevated amino-acid substitution rate (yang2024targetingtheparalog). Classified within the NRBP pseudokinase family and placed in the “Other/Unaffiliated” kinome group (kerr2013nuclearreceptorbindingprotein; larsson2008nuclearreceptorbinding; jacobsen2017thesecretlife).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None detected; the protein lacks the VAIK, HRD and DFG catalytic motifs required for phosphoryl transfer (yang2024targetingtheparalog; jacobsen2017thesecretlife).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Not applicable – divalent-metal or nucleotide binding has not been demonstrated (jacobsen2017thesecretlife).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Enzymatic substrate specificity has not been determined and no consensus phosphorylation motifs are reported (kerr2013nuclearreceptorbindingprotein).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Single-chain protein of ~500 aa (predicted mass 55–60 kDa) (larsson2008nuclearreceptorbinding).</w:t>
      </w:r>
      <w:r>
        <w:br/>
      </w:r>
      <w:r>
        <w:t xml:space="preserve">• Domain organisation:</w:t>
      </w:r>
      <w:r>
        <w:br/>
      </w:r>
      <w:r>
        <w:t xml:space="preserve">– N-terminal low-complexity segment containing predicted NLS and NES signals (yang2024targetingtheparalog).</w:t>
      </w:r>
      <w:r>
        <w:br/>
      </w:r>
      <w:r>
        <w:t xml:space="preserve">– Central pseudokinase domain that retains a bilobal kinase scaffold but lacks catalytic residues (yang2024targetingtheparalog).</w:t>
      </w:r>
      <w:r>
        <w:br/>
      </w:r>
      <w:r>
        <w:t xml:space="preserve">– C-terminal region with a BC-box and NRB (LXXLL) motif sufficient for homo/heterodimerisation and for targeting NRBP1 to the proteasome (yang2024targetingtheparalog).</w:t>
      </w:r>
      <w:r>
        <w:br/>
      </w:r>
      <w:r>
        <w:t xml:space="preserve">• AlphaFold models preserve the core kinase topology yet show an incomplete hydrophobic spine and a shortened activation loop, consistent with pseudokinase status (xiao2024tsc22dwnkand; amnekar2024nrbp1pseudokinasebinds).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No post-translational modifications mapped in large-scale proteomics surveys (yang2024targetingtheparalog).</w:t>
      </w:r>
      <w:r>
        <w:br/>
      </w:r>
      <w:r>
        <w:t xml:space="preserve">• Protein stability is controlled by the C-terminal NRB motif, which promotes proteasome-dependent degradation of NRBP1; NRBP1 in turn limits NRBP2 levels. This circuitry operates independently of the Elongin B/C E3 ligase complex (yang2024targetingtheparalog).</w:t>
      </w:r>
      <w:r>
        <w:br/>
      </w:r>
      <w:r>
        <w:t xml:space="preserve">• Transcriptionally silenced by promoter DNA methylation and histone deacetylation in medulloblastoma; demethylating agents or HDAC inhibitors reinstate expression (xiong2020nuclearreceptorbinding).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abundant in embryonic ventricular zones and hippocampus; in adults enriched in cerebellar Purkinje cells and hippocampal CA3 neurons (larsson2008nuclearreceptorbinding). Detected in the distal convoluted tubule of kidney where it localises to WNK bodies (maganaavila2024nrbp1andtsc22d).</w:t>
      </w:r>
      <w:r>
        <w:br/>
      </w:r>
      <w:r>
        <w:t xml:space="preserve">• Subcellular localisation: predominantly cytoplasmic, forming perinuclear or punctate foci that become more prominent upon co-expression with NRBP1 (larsson2008nuclearreceptorbinding; yang2024targetingtheparalog).</w:t>
      </w:r>
      <w:r>
        <w:br/>
      </w:r>
      <w:r>
        <w:t xml:space="preserve">• Interacting partners: NRBP1, LINE-1 ORF1, UPF1, MOV10, G3BP1, YBX1, WNK1, WNK4, SPAK and Elongin B/C (yang2024targetingtheparalog; maganaavila2024nrbp1andtsc22d).</w:t>
      </w:r>
      <w:r>
        <w:br/>
      </w:r>
      <w:r>
        <w:t xml:space="preserve">• Pathway roles:</w:t>
      </w:r>
      <w:r>
        <w:br/>
      </w:r>
      <w:r>
        <w:t xml:space="preserve">– Suppresses LINE-1 retrotransposition by destabilising NRBP1 and disrupting ORF1–RNA association (yang2024targetingtheparalog).</w:t>
      </w:r>
      <w:r>
        <w:br/>
      </w:r>
      <w:r>
        <w:t xml:space="preserve">– Enhances WNK4–SPAK signalling in kidney, increasing NCC phosphorylation and contributing to electrolyte balance (maganaavila2024nrbp1andtsc22d).</w:t>
      </w:r>
      <w:r>
        <w:br/>
      </w:r>
      <w:r>
        <w:t xml:space="preserve">– Supports neural progenitor survival; siRNA knock-down raises apoptosis during differentiation (larsson2008nuclearreceptorbinding).</w:t>
      </w:r>
      <w:r>
        <w:br/>
      </w:r>
      <w:r>
        <w:t xml:space="preserve">– Over-expression in medulloblastoma cells lowers viability, elevates apoptosis and curtails migration/invasion (xiong2020nuclearreceptorbinding).</w:t>
      </w:r>
      <w:r>
        <w:br/>
      </w:r>
      <w:r>
        <w:t xml:space="preserve">– Knock-down up-regulates innate immune and type I interferon genes (yang2024targetingtheparalog).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small-molecule or peptide inhibitors have been reported in the cited literature set.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NRBP2 transcript or protein is reduced in paediatric medulloblastoma (xiong2020nuclearreceptorbinding), in rheumatoid arthritis synovial tissue and a somatic mutation in its pseudokinase domain has been described in glioma (larsson2008nuclearreceptorbinding; yang2024targetingtheparalog).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amnekar2024nrbp1pseudokinasebinds</w:t>
      </w:r>
      <w:r>
        <w:br/>
      </w:r>
      <w:r>
        <w:t xml:space="preserve">jacobsen2017thesecretlife</w:t>
      </w:r>
      <w:r>
        <w:br/>
      </w:r>
      <w:r>
        <w:t xml:space="preserve">kerr2013nuclearreceptorbindingprotein</w:t>
      </w:r>
      <w:r>
        <w:br/>
      </w:r>
      <w:r>
        <w:t xml:space="preserve">larsson2008nuclearreceptorbinding</w:t>
      </w:r>
      <w:r>
        <w:br/>
      </w:r>
      <w:r>
        <w:t xml:space="preserve">maganaavila2024nrbp1andtsc22d</w:t>
      </w:r>
      <w:r>
        <w:br/>
      </w:r>
      <w:r>
        <w:t xml:space="preserve">xiao2024tsc22dwnkand</w:t>
      </w:r>
      <w:r>
        <w:br/>
      </w:r>
      <w:r>
        <w:t xml:space="preserve">xiong2020nuclearreceptorbinding</w:t>
      </w:r>
      <w:r>
        <w:br/>
      </w:r>
      <w:r>
        <w:t xml:space="preserve">yang2024targetingtheparalog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2025-07-03T23:14:51Z</dcterms:created>
  <dcterms:modified xsi:type="dcterms:W3CDTF">2025-07-03T23:14:51Z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