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Anaplastic lymphoma kinase (ALK) is a receptor tyrosine kinase in the insulin receptor (IR) super-family and the RTK group of the human kinome (Manning et al., 2002; Li &amp; Morris, 2008; Roskoski, 2013). ALK and leukocyte tyrosine kinase (LTK) form a distinct sub-group within this super-family (Palmer et al., 2009; Roskoski, 2013; Huang, 2018). Orthologues are widely conserved: mouse ALK (87 % identity to human), Drosophila Alk (DAlk), C. elegans SCD-2, and zebrafish Alk/Ltk, reflecting an evolutionarily conserved role in nervous-system development (Webb et al., 2009; Li &amp; Morris, 2008; Palmer et al., 2009).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(Huang, 2018; Roskoski,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Two Mg²⁺ ions are required; they are coordinated by Asp1270 (DFG motif) and Asn1254 to position ATP for catalysis (Roskoski, 2013; Roskoski,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Intrinsic profiling shows a preference for aliphatic hydrophobics (e.g., Ile) at positions –1 and +3 relative to the phosphorylated Tyr. Ser at –1 and Glu at +3 are disfavoured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Full-length human ALK is a single-pass, N-glycosylated 1620-aa receptor (~200–220 kDa mature form) (Corte et al., 2018; Li &amp; Morris, 2008).</w:t>
      </w:r>
      <w:r>
        <w:br/>
      </w:r>
      <w:r>
        <w:t xml:space="preserve">• Extracellular domain: signal peptide, two MAM domains (264–427, 480–626), one LDL-A domain (453–471), glycine-rich region (816–940); harbours midkine/pleiotrophin binding sites (Huang, 2018; Roskoski, 2013).</w:t>
      </w:r>
      <w:r>
        <w:br/>
      </w:r>
      <w:r>
        <w:t xml:space="preserve">• Transmembrane helix: 1039–1059 (Roskoski, 2013).</w:t>
      </w:r>
      <w:r>
        <w:br/>
      </w:r>
      <w:r>
        <w:t xml:space="preserve">• Intracellular domain: juxtamembrane segment and kinase domain (1116–1392) (Huang, 2018).</w:t>
      </w:r>
    </w:p>
    <w:p>
      <w:pPr>
        <w:pStyle w:val="BodyText"/>
      </w:pPr>
      <w:r>
        <w:t xml:space="preserve">Kinase domain adopts the canonical bi-lobed fold (Lee et al., 2010; Roskoski, 2017). Key features include:</w:t>
      </w:r>
      <w:r>
        <w:br/>
      </w:r>
      <w:r>
        <w:t xml:space="preserve">– N-lobe β-sheet, αC-helix, Gly-rich P-loop.</w:t>
      </w:r>
      <w:r>
        <w:br/>
      </w:r>
      <w:r>
        <w:t xml:space="preserve">– C-lobe helices with catalytic HRD motif (Asp1249) and activation segment (1270–1299) beginning with DFG.</w:t>
      </w:r>
      <w:r>
        <w:br/>
      </w:r>
      <w:r>
        <w:t xml:space="preserve">– Regulatory Lys1150–Glu1167 salt bridge (“αC-in” active state) (Lee et al., 2010).</w:t>
      </w:r>
      <w:r>
        <w:br/>
      </w:r>
      <w:r>
        <w:t xml:space="preserve">– Three-Tyr autophosphorylation motif Y1278/1282/1283 in the activation loop (Kong et al., 2019).</w:t>
      </w:r>
      <w:r>
        <w:br/>
      </w:r>
      <w:r>
        <w:t xml:space="preserve">Crystal structures are available for apo, ADP-bound and inhibitor-bound states (e.g., PDB 3L9P, 3LCS, 3LCT) (Lee et al., 2010).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triggered by ligand-induced receptor dimerisation followed by trans-autophosphorylation of Tyr1278, Tyr1282 and Tyr1283 (Corte et al., 2018; Li &amp; Morris, 2008). The first Tyr (1278) is phosphorylated preferentially (Lee et al., 2010). Negative regulation involves dephosphorylation by PTPRB and PTPRZ (Corte et al., 2018; Zhao et al., 2015). Additional layers include N-glycosylation at 16 consensus sites (Huang, 2018; Li &amp; Morris, 2008) and proteolytic cleavage yielding a 140 kDa fragment or caspase-3-mediated ICD cleavage during apoptosis (Huang, 2018). Conformational control is mediated by activation-loop phosphorylation that shifts the kinase from an inactive, substrate-blocking pose to an open, active conformation (Lee et al., 2010; Roskoski,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ALK supports development and differentiation of central and peripheral neurons (Roskoski, 2013; Li &amp; Morris, 2008).</w:t>
      </w:r>
      <w:r>
        <w:br/>
      </w:r>
      <w:r>
        <w:t xml:space="preserve">Expression patterns: high mRNA levels in adult brain; additional expression in small intestine, testis, prostate and colon; absent from lymphoid tissues and lung (Corte et al., 2018; Zhao et al., 2015). During embryogenesis, expression localises to hippocampus, spinal cord motor neurons, and wider nervous system (Huang, 2018; Webb et al., 2009).</w:t>
      </w:r>
      <w:r>
        <w:br/>
      </w:r>
      <w:r>
        <w:t xml:space="preserve">Upstream ligands: midkine (MK), pleiotrophin (PTN); Drosophila ligand Jelly belly (Jeb) (Corte et al., 2018; Li &amp; Morris, 2008).</w:t>
      </w:r>
      <w:r>
        <w:br/>
      </w:r>
      <w:r>
        <w:t xml:space="preserve">Downstream substrates/signalling: IRS-1, SHC, PLC-γ (Li &amp; Morris, 2008) leading to PLC-γ, JAK–STAT, PI3K-AKT-mTOR, RAS/MEK/ERK (MAPK) and Sonic hedgehog pathways, promoting proliferation and survival (Corte et al., 2018; Kong et al., 2019). In the absence of ligand, ALK can act as a dependence receptor and induce apoptosis (Li &amp; Morris, 2008).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approved ATP-competitive inhibitors include crizotinib, ceritinib and alectinib; crizotinib was the first FDA-approved agent for ALK-positive NSCLC (Corte et al., 2018; Huang, 2018; Roskoski, 2013).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Oncogenic ALK activation occurs via:</w:t>
      </w:r>
      <w:r>
        <w:br/>
      </w:r>
      <w:r>
        <w:t xml:space="preserve">– Chromosomal translocations producing ligand-independent fusion kinases (e.g., NPM-ALK, EML4-ALK) (Corte et al., 2018; Huang, 2018).</w:t>
      </w:r>
      <w:r>
        <w:br/>
      </w:r>
      <w:r>
        <w:t xml:space="preserve">– Activating mutations at F1174, F1245, R1275 hotspots (Huang, 2018; Lee et al., 2010).</w:t>
      </w:r>
      <w:r>
        <w:br/>
      </w:r>
      <w:r>
        <w:t xml:space="preserve">– Gene amplification/over-expression in neuroblastoma and rhabdomyosarcoma (Huang, 2018; Kong et al., 2019).</w:t>
      </w:r>
      <w:r>
        <w:br/>
      </w:r>
      <w:r>
        <w:t xml:space="preserve">Resistance to ALK inhibitors frequently arises through secondary kinase-domain mutations or bypass pathway activation (Roskoski, 2013; Corte et al., 2018).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Carminia Maria Della Corte, C., Viscardi, G., Di Liello, R., Fasano, M., Martinelli, E., Troiani, T., Ciardiello, F., &amp; Morgillo, F. (2018). Role and targeting of anaplastic lymphoma kinase in cancer. Molecular Cancer, 17, 30. https://doi.org/10.1186/s12943-018-0776-2</w:t>
      </w:r>
    </w:p>
    <w:p>
      <w:pPr>
        <w:pStyle w:val="BodyText"/>
      </w:pPr>
      <w:r>
        <w:t xml:space="preserve">Huang, H. (2018). Anaplastic lymphoma kinase (ALK) receptor tyrosine kinase: a catalytic receptor with many faces. International Journal of Molecular Sciences, 19(11), 3448. https://doi.org/10.3390/ijms19113448</w:t>
      </w:r>
    </w:p>
    <w:p>
      <w:pPr>
        <w:pStyle w:val="BodyText"/>
      </w:pPr>
      <w:r>
        <w:t xml:space="preserve">Kong, X., Pan, P., Sun, H., Xia, H., Wang, X., Li, Y., &amp; Hou, T. (2019). Drug discovery targeting anaplastic lymphoma kinase (ALK). Journal of Medicinal Chemistry, 62(21), 10927–10954. https://doi.org/10.1021/acs.jmedchem.9b00446</w:t>
      </w:r>
    </w:p>
    <w:p>
      <w:pPr>
        <w:pStyle w:val="BodyText"/>
      </w:pPr>
      <w:r>
        <w:t xml:space="preserve">Lee, C. C., Jia, Y., Li, N., Sun, X., Ng, K., Ambing, E., Gao, M.-Y., Hua, S., Chen, C., Kim, S., Michellys, P., Lesley, S., Harris, J. L., &amp; Spraggon, G. (2010). Crystal structure of the ALK catalytic domain. Biochemical Journal, 430(3), 425–437. https://doi.org/10.1042/BJ20100609</w:t>
      </w:r>
    </w:p>
    <w:p>
      <w:pPr>
        <w:pStyle w:val="BodyText"/>
      </w:pPr>
      <w:r>
        <w:t xml:space="preserve">Li, R., &amp; Morris, S. W. (2008). Development of anaplastic lymphoma kinase (ALK) small-molecule inhibitors for cancer therapy. Medicinal Research Reviews, 28(3), 372–412. https://doi.org/10.1002/med.20109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Palmer, R. H., Vernersson, E., Grabbe, C., &amp; Hallberg, B. (2009). Anaplastic lymphoma kinase: signalling in development and disease. Biochemical Journal, 420(3), 345–361. https://doi.org/10.1042/BJ20090387</w:t>
      </w:r>
    </w:p>
    <w:p>
      <w:pPr>
        <w:pStyle w:val="BodyText"/>
      </w:pPr>
      <w:r>
        <w:t xml:space="preserve">Roskoski, R. (2013). Anaplastic lymphoma kinase (ALK): structure, oncogenic activation, and pharmacological inhibition. Pharmacological Research, 68(1), 68–94. https://doi.org/10.1016/j.phrs.2012.11.007</w:t>
      </w:r>
    </w:p>
    <w:p>
      <w:pPr>
        <w:pStyle w:val="BodyText"/>
      </w:pPr>
      <w:r>
        <w:t xml:space="preserve">Roskoski, R. (2017). Anaplastic lymphoma kinase (ALK) inhibitors in the treatment of ALK-driven lung cancers. Pharmacological Research, 117, 343–356. https://doi.org/10.1016/j.phrs.2017.01.007</w:t>
      </w:r>
    </w:p>
    <w:p>
      <w:pPr>
        <w:pStyle w:val="BodyText"/>
      </w:pPr>
      <w:r>
        <w:t xml:space="preserve">Webb, T. R., Slavish, J., George, R. E., Look, A. T., Xue, L., Jiang, Q., Cui, X., Rentrop, W. B., &amp; Morris, S. W. (2009). Anaplastic lymphoma kinase: role in cancer pathogenesis and small-molecule inhibitor development for therapy. Expert Review of Anticancer Therapy, 9(3), 331–356. https://doi.org/10.1586/14737140.9.3.331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Zhao, Z., Verma, V., &amp; Zhang, M. (2015). Anaplastic lymphoma kinase: role in cancer and therapy perspective. Cancer Biology &amp; Therapy, 16(11), 1691–1701. https://doi.org/10.1080/15384047.2015.1095407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2025-07-03T20:18:59Z</dcterms:created>
  <dcterms:modified xsi:type="dcterms:W3CDTF">2025-07-03T20:18:59Z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