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CAMK2A encodes the α-isoform of Ca2+/calmodulin-dependent protein kinase II (CaMKII), a serine/threonine kinase placed in the CaMK group and CaMKII family (Bhattacharyya et al., 2020; Baucum et al., 2015; Rostas &amp; Skelding, 2023). In vertebrates the family comprises four closely related genes—CAMK2A, CAMK2B, CAMK2G and CAMK2D—whose products share ~95 % sequence identity in the catalytic domain and ~80 % in the hub domain, while diverging mainly in the kinase-hub linker (Bhattacharyya et al., 2020; Sun et al., 2024).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H+ + O-phospho-L-seryl/threonyl-[protein] (Baucum et al., 2015; Fujii et al., 2022; Rostas &amp; Skelding, 2023).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(i) Ca2+/calmodulin, which binds the regulatory segment and activates the enzyme, and (ii) Mg2+, which coordinates ATP during phosphoryl transfer (Bhattacharyya et al., 2020; Fujii et al., 2022; Rostas &amp; Skelding, 2023).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CAMK2A is a basophilic kinase that prefers Ser/Thr residues preceded by an arginine at the </w:t>
      </w:r>
      <w:r>
        <w:softHyphen/>
      </w:r>
      <w:r>
        <w:t xml:space="preserve">2 or </w:t>
      </w:r>
      <w:r>
        <w:softHyphen/>
      </w:r>
      <w:r>
        <w:t xml:space="preserve">3 position; optimal motifs are R-x-S/T and R-x-x-S/T (Johnson et al., 2023).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Individual subunits consist of an N-terminal bilobed kinase domain, a central regulatory segment, a variable linker, and a C-terminal hub (association) domain. Twelve or fourteen subunits assemble into two stacked hexameric or heptameric rings to form the holoenzyme (Hell, 2014; Bhattacharyya et al., 2020; Yasuda et al., 2022). The regulatory segment contains (i) an autoinhibitory pseudosubstrate and (ii) an overlapping CaM-binding element. Unlike many kinases, CaMKII lacks a canonical activation-loop phosphosite (Bhattacharyya et al., 2020). Isoform diversity largely reflects differences in the flexible kinase-hub linker (Bhattacharyya et al., 2020).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In the basal state the autoinhibitory segment occludes the active site (Takemoto-Kimura et al., 2017; Hell, 2014). Binding of Ca2+/CaM displaces this segment, enabling inter-subunit autophosphorylation (Bhattacharyya et al., 2020; Yasuda et al., 2022).</w:t>
      </w:r>
      <w:r>
        <w:br/>
      </w:r>
      <w:r>
        <w:t xml:space="preserve">• Thr286 autophosphorylation generates Ca2+-independent (autonomous) activity and promotes “calmodulin trapping” (Baucum et al., 2015; Rostas &amp; Skelding, 2023).</w:t>
      </w:r>
      <w:r>
        <w:br/>
      </w:r>
      <w:r>
        <w:t xml:space="preserve">• Thr305/306 autophosphorylation blocks CaM rebinding and is inhibitory (Bhattacharyya et al., 2020; Takemoto-Kimura et al., 2017).</w:t>
      </w:r>
      <w:r>
        <w:br/>
      </w:r>
      <w:r>
        <w:t xml:space="preserve">Protein phosphatase 1 and other phosphatases terminate signalling by dephosphorylating these sites (Bhattacharyya et al., 2020). The interplay of activating and inhibitory phosphorylation allows decoding of Ca2+ signal frequency and amplitude (Rostas &amp; Skelding, 2023).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CAMK2A is highly expressed in excitatory neurons of the hippocampus and cortex and is enriched in the postsynaptic density (Baucum et al., 2015; Yasuda et al., 2022). It is pivotal for synaptic plasticity, learning and memory, acting downstream of Ca2+ influx during long-term potentiation (Fujii et al., 2022). Reported substrates include AMPA-receptor subunit GluA1, TARPs, and regulators of the actin cytoskeleton such as RAC/RHO GEFs (Yasuda et al., 2022). Interacting partners encompass the NMDA-receptor subunit GluN2B, PSD-95, Shank3, Homer, F-actin and BAIAP2, linking CAMK2A to signalling scaffolds that organise the postsynaptic density (Baucum et al., 2015; Yasuda et al., 2022).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Experimental tools include the small-molecule KN-93 (blocks CaM binding), the peptide tatCN21 (disrupts GluN2B interaction), and the photo-activatable peptide paAIP2 (Yasuda et al., 2022; Baucum et al., 2015; Kool et al., 2019).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De novo CAMK2A mutations (e.g., P212L, F98S, A112V) are linked to intellectual disability, autism spectrum disorders, growth delay and seizures; several variants aberrantly enhance kinase activity (Fujii et al., 2022; Yasuda et al., 2022).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Baucum, A. J., Shonesy, B. C., Rose, K. L., &amp; Colbran, R. J. (2015). Quantitative proteomics analysis of CaMKII phosphorylation and the CaMKII interactome in the mouse forebrain. ACS Chemical Neuroscience, 6, 615–631. https://doi.org/10.1021/cn500337u</w:t>
      </w:r>
    </w:p>
    <w:p>
      <w:pPr>
        <w:pStyle w:val="BodyText"/>
      </w:pPr>
      <w:r>
        <w:t xml:space="preserve">Bhattacharyya, M., Lee, Y. K., Muratcioğlu, S., Qiu, B., Nyayapati, P., Schulman, H., Groves, J., &amp; Kuriyan, J. (2020). Flexible linkers in CaMKII control the balance between activating and inhibitory autophosphorylation. eLife, Article e53670. https://doi.org/10.7554/eLife.53670</w:t>
      </w:r>
    </w:p>
    <w:p>
      <w:pPr>
        <w:pStyle w:val="BodyText"/>
      </w:pPr>
      <w:r>
        <w:t xml:space="preserve">Bhattacharyya, M., Karandur, D., &amp; Kuriyan, J. (2020). Structural insights into the regulation of Ca2+/calmodulin-dependent protein kinase II (CaMKII). Cold Spring Harbor Perspectives in Biology, 12, a035147. https://doi.org/10.1101/cshperspect.a035147</w:t>
      </w:r>
    </w:p>
    <w:p>
      <w:pPr>
        <w:pStyle w:val="BodyText"/>
      </w:pPr>
      <w:r>
        <w:t xml:space="preserve">Fujii, H., Kidokoro, H., Kondo, Y., Kawaguchi, M., Horigane, S.-I., Natsume, J., Takemoto-Kimura, S., &amp; Bito, H. (2022). Förster resonance energy transfer-based kinase mutation phenotyping reveals an aberrant facilitation of Ca2+/calmodulin-dependent CaMKIIα activity in de novo mutations related to intellectual disability. Frontiers in Molecular Neuroscience, 15, 970031. https://doi.org/10.3389/fnmol.2022.970031</w:t>
      </w:r>
    </w:p>
    <w:p>
      <w:pPr>
        <w:pStyle w:val="BodyText"/>
      </w:pPr>
      <w:r>
        <w:t xml:space="preserve">Hell, J. W. (2014). CaMKII: Claiming center stage in postsynaptic function and organization. Neuron, 81, 249–265. https://doi.org/10.1016/j.neuron.2013.12.024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Kool, M. J., Onori, M. P., Borgesius, N. Z., van de Bree, J. E., Elgersma-Hooisma, M., Nio, E., … van Woerden, G. M. (2019). CaMK2-dependent signaling in neurons is essential for survival. Journal of Neuroscience, 39, 5424–5439. https://doi.org/10.1523/JNEUROSCI.1341-18.2019</w:t>
      </w:r>
    </w:p>
    <w:p>
      <w:pPr>
        <w:pStyle w:val="BodyText"/>
      </w:pPr>
      <w:r>
        <w:t xml:space="preserve">Rostas, J. A. P., &amp; Skelding, K. A. (2023). Calcium/calmodulin-stimulated protein kinase II (CaMKII): Different functional outcomes from activation, depending on the cellular microenvironment. Cells, 12, 401. https://doi.org/10.3390/cells12030401</w:t>
      </w:r>
    </w:p>
    <w:p>
      <w:pPr>
        <w:pStyle w:val="BodyText"/>
      </w:pPr>
      <w:r>
        <w:t xml:space="preserve">Sun, Y., Hao, M., Wu, H., Zhang, C., Wei, D., Li, S., Song, Z., &amp; Tao, Y. (2024). Unveiling the role of CaMKII in retinal degeneration: From biological mechanism to therapeutic strategies. Cell &amp; Bioscience, 14, 1236-2. https://doi.org/10.1186/s13578-024-01236-2</w:t>
      </w:r>
    </w:p>
    <w:p>
      <w:pPr>
        <w:pStyle w:val="BodyText"/>
      </w:pPr>
      <w:r>
        <w:t xml:space="preserve">Takemoto-Kimura, S., Suzuki, K., Horigane, S.-I., Kamijo, S., Inoue, M., Sakamoto, M., Fujii, H., &amp; Bito, H. (2017). Calmodulin kinases: Essential regulators in health and disease. Journal of Neurochemistry, 141, 808–818. https://doi.org/10.1111/jnc.14020</w:t>
      </w:r>
    </w:p>
    <w:p>
      <w:pPr>
        <w:pStyle w:val="BodyText"/>
      </w:pPr>
      <w:r>
        <w:t xml:space="preserve">Yasuda, R., Hayashi, Y., &amp; Hell, J. W. (2022). CaMKII: A central molecular organizer of synaptic plasticity, learning and memory. Nature Reviews Neuroscience, 23, 666–682. https://doi.org/10.1038/s41583-022-00624-2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2025-07-03T18:23:57Z</dcterms:created>
  <dcterms:modified xsi:type="dcterms:W3CDTF">2025-07-03T18:23:57Z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