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2.7.11.–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Serine/threonine-protein kinase STK38L (NDR2)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NDR2; STK38L; Nuclear Dbf2-related protein kinase 2; LATS-related kinase 2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NDR (nuclear Dbf2-related) subgroup of the AGC serine/threonine kinase family, highly conserved from yeast to humans (Bichsel et al., 2004; Cornils, 2010). The human NDR branch comprises NDR1 (STK38), NDR2 (STK38L), LATS1 and LATS2 (Cornils, 2010). Orthologues include S. cerevisiae Dbf2p/Dbf20p/Cbk1p, S. pombe Sid2p/Orb6p, C. elegans SAX-1/LATS, and D. melanogaster Tricornered/Warts (Bichsel et al., 2004; Cornils, 2010; Martin &amp; Camonis, 2021). Upstream Ste20-like kinases MST1/2/3 are closely related and act as activators (Stegert et al., 2005).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[a protein] ⇌ ADP + [a phosphoprotein] (Cornils, 2010; Hergovich et al., 2008).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ATP binding and phosphoryl transfer; 10 mM MgCl₂ is used in vitro (Bichsel et al., 2004; Hergovich et al., 2008; Stegert et al., 2005).</w:t>
      </w:r>
    </w:p>
    <w:bookmarkEnd w:id="14"/>
    <w:bookmarkStart w:id="15" w:name="specificity"/>
    <w:p>
      <w:pPr>
        <w:pStyle w:val="Heading2"/>
      </w:pPr>
      <w:r>
        <w:t xml:space="preserve">Specificity</w:t>
      </w:r>
    </w:p>
    <w:p>
      <w:pPr>
        <w:pStyle w:val="FirstParagraph"/>
      </w:pPr>
      <w:r>
        <w:t xml:space="preserve">Prefers basophilic motifs with basic residues N-terminal to the phospho-acceptor. Consensus sequences reported include H-X-R-R-X-S/T, H-R-x-x-S/T, HXRXXS/T, and [R/K]-X-[pS/pT]-[L/V] (Johnson et al., 2023; Hergovich, 2016). A synthetic peptide, KKRNRRLSVA, is efficiently phosphorylated in vitro (Stegert, 2005; Köhler, 2012).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Composed of:</w:t>
      </w:r>
      <w:r>
        <w:br/>
      </w:r>
      <w:r>
        <w:t xml:space="preserve">• N-terminal regulatory (NTR) domain that binds MOB proteins and S100B (Cornils, 2010).</w:t>
      </w:r>
      <w:r>
        <w:br/>
      </w:r>
      <w:r>
        <w:t xml:space="preserve">• Central catalytic kinase domain with 12 conserved subdomains (Cornils, 2010).</w:t>
      </w:r>
      <w:r>
        <w:br/>
      </w:r>
      <w:r>
        <w:t xml:space="preserve">• C-terminal hydrophobic motif (HM) containing Thr442 (Cornils, 2010; Martin, 2020).</w:t>
      </w:r>
      <w:r>
        <w:br/>
      </w:r>
      <w:r>
        <w:t xml:space="preserve">A 30–60 aa insertion between subdomains VII and VIII harbours an auto-inhibitory sequence rich in basic residues (Bichsel et al., 2004; Cornils, 2010). Crystal structures of the paralog STK38 show an elongated activation segment and an auto-inhibitory αC helix (Martin &amp; Camonis, 2021). AlphaFold models recapitulate these features (Martin, 2020).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Phosphorylation-dependent activation:</w:t>
      </w:r>
      <w:r>
        <w:br/>
      </w:r>
      <w:r>
        <w:t xml:space="preserve">• Ser282 (activation loop) – autophosphorylation, essential for activity (Cornils, 2010).</w:t>
      </w:r>
      <w:r>
        <w:br/>
      </w:r>
      <w:r>
        <w:t xml:space="preserve">• Thr442 (HM) – phosphorylated by MST1/2/3; MST3 enhances activity ~10-fold (Stegert et al., 2005).</w:t>
      </w:r>
      <w:r>
        <w:br/>
      </w:r>
      <w:r>
        <w:t xml:space="preserve">• Thr74/Thr75 (NTR) – required for full activity (Martin, 2020; Martin &amp; Camonis, 2021).</w:t>
      </w:r>
    </w:p>
    <w:p>
      <w:pPr>
        <w:pStyle w:val="BodyText"/>
      </w:pPr>
      <w:r>
        <w:t xml:space="preserve">Dephosphorylation: PP2A inactivates STK38L (Martin, 2020; Martin &amp; Camonis, 2021).</w:t>
      </w:r>
    </w:p>
    <w:p>
      <w:pPr>
        <w:pStyle w:val="BodyText"/>
      </w:pPr>
      <w:r>
        <w:t xml:space="preserve">Regulatory proteins:</w:t>
      </w:r>
      <w:r>
        <w:br/>
      </w:r>
      <w:r>
        <w:t xml:space="preserve">• MOB1A/B act as co-activators by binding the NTR and relieving auto-inhibition, whereas MOB2 is inhibitory (Cornils, 2010; Hergovich et al., 2008; Köhler, 2012).</w:t>
      </w:r>
      <w:r>
        <w:br/>
      </w:r>
      <w:r>
        <w:t xml:space="preserve">• S100B binds the NTR and can stimulate activity in vitro (Bichsel et al., 2004).</w:t>
      </w:r>
    </w:p>
    <w:p>
      <w:pPr>
        <w:pStyle w:val="BodyText"/>
      </w:pPr>
      <w:r>
        <w:t xml:space="preserve">Other post-translational modifications: ISGylation, ubiquitination and acetylation have been reported (Hergovich, 2016).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Participates in cell-cycle progression, centrosome duplication, cell morphology, spreading, neurite outgrowth and mitotic chromosome alignment (Bichsel et al., 2004; Stegert, 2005; Hergovich, 2013). Localises predominantly in the cytoplasm (Stegert, 2005). Highly expressed in rapidly proliferating tissues such as stomach and intestine (Stegert, 2005).</w:t>
      </w:r>
    </w:p>
    <w:p>
      <w:pPr>
        <w:pStyle w:val="BodyText"/>
      </w:pPr>
      <w:r>
        <w:t xml:space="preserve">Signalling context:</w:t>
      </w:r>
      <w:r>
        <w:br/>
      </w:r>
      <w:r>
        <w:t xml:space="preserve">Upstream kinases – MST1-5, MAP4K family (Cornils, 2010; Martin, 2020).</w:t>
      </w:r>
      <w:r>
        <w:br/>
      </w:r>
      <w:r>
        <w:t xml:space="preserve">Downstream substrates – YAP (Ser127), TAZ, Rabin8, HP1α, XPO1 (Hergovich, 2016; Martin &amp; Camonis, 2021).</w:t>
      </w:r>
      <w:r>
        <w:br/>
      </w:r>
      <w:r>
        <w:t xml:space="preserve">Pathway – Acts within the Hippo pathway to restrain YAP/TAZ activity (Bichsel et al., 2004; Hergovich, 2016).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direct small-molecule inhibitors reported; selective nuclear export inhibitors such as Selinexor target the substrate XPO1 (Martin, 2020).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STK38L lies in the cancer-associated 12p11 amplicon. Up-regulation is observed in aggressive breast cancers, melanomas and metastatic lung cancer lines (Bichsel et al., 2004; Stegert, 2005). Intestinal Ndr1/2 knockout mice display hyperplasia and increased tumour incidence (Hergovich, 2016). An exonic SINE insertion in canine STK38L causes early retinal degeneration (Hergovich, 2013).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Bichsel, S. J., Tamaskovic, R., Stegert, M. R., &amp; Hemmings, B. A. (2004). Mechanism of activation of NDR (nuclear Dbf2-related) protein kinase by the hMOB1 protein. Journal of Biological Chemistry, 279, 35228-35235. https://doi.org/10.1074/jbc.M404542200</w:t>
      </w:r>
    </w:p>
    <w:p>
      <w:pPr>
        <w:pStyle w:val="BodyText"/>
      </w:pPr>
      <w:r>
        <w:t xml:space="preserve">Cornils, H. (2010). Functional characterization of mammalian NDR kinase deficiency: novel functions and insights into downstream signaling mechanisms (Doctoral dissertation). University of Basel.</w:t>
      </w:r>
    </w:p>
    <w:p>
      <w:pPr>
        <w:pStyle w:val="BodyText"/>
      </w:pPr>
      <w:r>
        <w:t xml:space="preserve">Hergovich, A., Cornils, H., &amp; Hemmings, B. A. (2008). Mammalian NDR protein kinases: from regulation to a role in centrosome duplication. Biochimica et Biophysica Acta – Proteins and Proteomics, 1784, 3-15. https://doi.org/10.1016/j.bbapap.2007.07.017</w:t>
      </w:r>
    </w:p>
    <w:p>
      <w:pPr>
        <w:pStyle w:val="BodyText"/>
      </w:pPr>
      <w:r>
        <w:t xml:space="preserve">Hergovich, A. (2013). Regulation and functions of mammalian LATS/NDR kinases: looking beyond canonical Hippo signalling. Cell &amp; Bioscience, 3, 32. https://doi.org/10.1186/2045-3701-3-32</w:t>
      </w:r>
    </w:p>
    <w:p>
      <w:pPr>
        <w:pStyle w:val="BodyText"/>
      </w:pPr>
      <w:r>
        <w:t xml:space="preserve">Hergovich, A. (2016). The roles of NDR protein kinases in Hippo signalling. Genes, 7, 21. https://doi.org/10.3390/genes7050021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759-766. https://doi.org/10.1038/s41586-022-05575-3</w:t>
      </w:r>
    </w:p>
    <w:p>
      <w:pPr>
        <w:pStyle w:val="BodyText"/>
      </w:pPr>
      <w:r>
        <w:t xml:space="preserve">Köhler, R. (2012). Functional characterization of human NDR kinases: novel regulatory mechanisms and a path towards direct substrates (Doctoral dissertation). University of Basel.</w:t>
      </w:r>
    </w:p>
    <w:p>
      <w:pPr>
        <w:pStyle w:val="BodyText"/>
      </w:pPr>
      <w:r>
        <w:t xml:space="preserve">Martin, A. P. J., &amp; Camonis, J. H. (2021). The STK38–XPO1 axis, a new actor in physiology and cancer. Cellular and Molecular Life Sciences, 78, 1943-1955. https://doi.org/10.1007/s00018-020-03690-w</w:t>
      </w:r>
    </w:p>
    <w:p>
      <w:pPr>
        <w:pStyle w:val="BodyText"/>
      </w:pPr>
      <w:r>
        <w:t xml:space="preserve">Martin, A. P. J., &amp; Camonis, J. H. (2020). The Hippo kinase STK38 ensures functionality of XPO1. Cell Cycle, 19, 2982-2995. https://doi.org/10.1080/15384101.2020.1826619</w:t>
      </w:r>
    </w:p>
    <w:p>
      <w:pPr>
        <w:pStyle w:val="BodyText"/>
      </w:pPr>
      <w:r>
        <w:t xml:space="preserve">Stegert, M. R., Hergovich, A., Tamaskovic, R., Bichsel, S. J., &amp; Hemmings, B. A. (2005). Regulation of NDR protein kinase by hydrophobic motif phosphorylation mediated by the mammalian Ste20-like kinase MST3. Molecular and Cellular Biology, 25, 11019-11029. https://doi.org/10.1128/MCB.25.24.11019-11029.2005</w:t>
      </w:r>
    </w:p>
    <w:p>
      <w:pPr>
        <w:pStyle w:val="BodyText"/>
      </w:pPr>
      <w:r>
        <w:t xml:space="preserve">Stegert, M. (2005). Functional characterisation of the mammalian NDR1 and NDR2 protein kinases and their regulation by the mammalian Ste20-like kinase MST3 (Doctoral dissertation). University of Basel.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2025-07-03T23:36:09Z</dcterms:created>
  <dcterms:modified xsi:type="dcterms:W3CDTF">2025-07-03T23:36:09Z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