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ATR, encoded by the ATR FRP1 gene (UniProt Q13535), belongs to the phosphatidylinositol 3‐kinase‐related kinase (PIKK) family, a large and evolutionarily conserved group of atypical protein kinases that includes ATM, DNA‐PK, mTOR, SMG1, and TRRAP (foote2015druggingatrprogress pages 1-2). Orthologs of ATR are widely distributed among eukaryotes, demonstrating its fundamental role in maintaining genome stability, and its evolutionary history has been traced back to common ancestral kinases present in the last eukaryotic common ancestor (LECA) (foote2015druggingatrprogress pages 2-4, rakshambikai2015typicalandatypical pages 29-36). Within the human kinome, ATR is grouped with other serine/threonine kinases that play central roles in the DNA damage response, and it is closely related to ATM and DNA–PK given their joint involvement in the cellular response to genotoxic stress (foote2015druggingatrprogress pages 1-2, moret2020aresourcefor pages 54-55). Its classification in the atypical protein kinase (aPK) fold group further distinguishes it from the more conventional eukaryotic protein kinases (ePKs) by virtue of its large size and unique regulatory domains (moret2020aresourcefor pages 54-55, attwood2021trendsinkinase pages 13-14).</w:t>
      </w:r>
    </w:p>
    <w:p>
      <w:pPr>
        <w:numPr>
          <w:ilvl w:val="0"/>
          <w:numId w:val="1001"/>
        </w:numPr>
      </w:pPr>
      <w:r>
        <w:t xml:space="preserve">Reaction Catalyzed</w:t>
      </w:r>
      <w:r>
        <w:br/>
      </w:r>
      <w:r>
        <w:t xml:space="preserve">ATR functions as a serine/threonine kinase that catalyzes the phosphorylation reaction in which ATP donates its terminal phosphate group to a hydroxyl group on target protein substrates. In this reaction, ATP and the protein substrate yield ADP and a phosphorylated protein (with either serine or threonine residues modified) along with a proton (H⁺) as a by‐product (foote2015druggingatrprogress pages 1-2, foote2015druggingatrprogress pages 9-10).</w:t>
      </w:r>
    </w:p>
    <w:p>
      <w:pPr>
        <w:numPr>
          <w:ilvl w:val="0"/>
          <w:numId w:val="1001"/>
        </w:numPr>
      </w:pPr>
      <w:r>
        <w:t xml:space="preserve">Cofactor Requirements</w:t>
      </w:r>
      <w:r>
        <w:br/>
      </w:r>
      <w:r>
        <w:t xml:space="preserve">The catalytic activity of ATR, similar to that of other serine/threonine protein kinases, necessitates the coordination of cofactors. In particular, the reaction requires ATP as the phosphate donor, and this process is facilitated by the presence of divalent cations, notably Mg²⁺, which help stabilize the ATP–enzyme complex and promote the transfer of the phosphate group to the substrate (foote2015druggingatrprogress pages 2-4, foote2015druggingatrprogress pages 5-6).</w:t>
      </w:r>
    </w:p>
    <w:p>
      <w:pPr>
        <w:numPr>
          <w:ilvl w:val="0"/>
          <w:numId w:val="1001"/>
        </w:numPr>
      </w:pPr>
      <w:r>
        <w:t xml:space="preserve">Substrate Specificity</w:t>
      </w:r>
      <w:r>
        <w:br/>
      </w:r>
      <w:r>
        <w:t xml:space="preserve">ATR exhibits substrate specificity by preferentially phosphorylating serine and threonine residues that are immediately followed by a glutamine residue, conforming to the consensus sequence [ST]-Q (foote2015druggingatrprogress pages 1-2). This sequence specificity is characteristic of several DNA damage response kinases, ensuring that ATR targets a defined set of substrates involved in cell cycle checkpoint signaling and DNA repair (foote2015druggingatrprogress pages 1-2, blazquez2020potentialforprotein pages 1-2).</w:t>
      </w:r>
    </w:p>
    <w:p>
      <w:pPr>
        <w:numPr>
          <w:ilvl w:val="0"/>
          <w:numId w:val="1001"/>
        </w:numPr>
      </w:pPr>
      <w:r>
        <w:t xml:space="preserve">Structure</w:t>
      </w:r>
      <w:r>
        <w:br/>
      </w:r>
      <w:r>
        <w:t xml:space="preserve">ATR is an exceptionally large protein with a modular structure composed of several distinct domains that coordinate its catalytic activity and regulatory interactions. The N-terminal region comprises multiple HEAT (Huntingtin, EF3, PP2A, TOR1) repeats that form elongated, solenoid-like structures and mediate protein–protein interactions essential for ATR recruitment to sites of DNA damage (foote2015druggingatrprogress pages 1-2, stach2013functionalanalysesof pages 53-58). Following the HEAT repeats, the FAT (FRAP-ATM-TRRAP) domain is present and contributes to maintaining the structural integrity and proper folding of the kinase (stach2013functionalanalysesof pages 53-58). Centrally located is the kinase domain, which adheres to the classic bilobal architecture found in eukaryotic protein kinases – a smaller N-terminal lobe primarily composed of β-sheets and a larger C-terminal lobe rich in α-helices. This catalytic domain contains key motifs, including the glycine-rich loop (G-loop) for ATP binding, the conserved DFG motif that coordinates a magnesium ion for catalysis, and an activation loop (A-loop) that undergoes phosphorylation-dependent conformational changes necessary for full enzymatic activity (foote2015druggingatrprogress pages 16-17, attwood2021trendsinkinase pages 7-9). The extreme C-terminal region harbors the FATC domain, a conserved motif essential for proper kinase function and stability (stach2013functionalanalysesof pages 53-58). Together, these domains create an organized structure wherein regulatory interactions are integrated with catalytic function, enabling ATR to respond to replication stress and DNA damage (foote2015druggingatrprogress pages 1-2, moret2020aresourcefor pages 54-55).</w:t>
      </w:r>
    </w:p>
    <w:p>
      <w:pPr>
        <w:numPr>
          <w:ilvl w:val="0"/>
          <w:numId w:val="1001"/>
        </w:numPr>
      </w:pPr>
      <w:r>
        <w:t xml:space="preserve">Regulation</w:t>
      </w:r>
      <w:r>
        <w:br/>
      </w:r>
      <w:r>
        <w:t xml:space="preserve">ATR is tightly regulated by multiple mechanisms to ensure that its kinase activity is induced only under conditions of genotoxic stress. Activation occurs predominantly through the recruitment of ATR to sites of DNA damage by binding to replication protein A (RPA)-coated single-stranded DNA (ssDNA), a common intermediate during replication fork stalling or resection at double-strand break sites (foote2015druggingatrprogress pages 1-2, foote2015druggingatrprogress pages 17-18). The binding partner ATR-interacting protein (ATRIP) is essential for localizing ATR to these DNA structures and facilitating subsequent activation (foote2015druggingatrprogress pages 1-2). Additionally, mediator proteins such as TopBP1 enhance ATR activity through direct interactions that promote its active conformation (foote2015druggingatrprogress pages 14-16). Post-translational modifications, including phosphorylation events within the activation loop and other regulatory regions, modulate ATR’s activity and stability, while ubiquitylation and interactions with poly(ADP-ribose) and ubiquitin-related proteins (e.g., the recruitment of UBA1 by poly(ADP-ribose)) further influence its signaling efficacy (kumbhar2018recruitmentofubiquitinactivating pages 16-16, foote2015druggingatrprogress pages 10-11). These regulatory mechanisms collectively ensure that ATR is deployed only when necessary to safeguard genome integrity.</w:t>
      </w:r>
    </w:p>
    <w:p>
      <w:pPr>
        <w:numPr>
          <w:ilvl w:val="0"/>
          <w:numId w:val="1001"/>
        </w:numPr>
      </w:pPr>
      <w:r>
        <w:t xml:space="preserve">Function</w:t>
      </w:r>
      <w:r>
        <w:br/>
      </w:r>
      <w:r>
        <w:t xml:space="preserve">ATR plays a crucial role as a DNA damage sensor and effector kinase in the cellular response to genotoxic stress. It is activated in response to various forms of DNA damage, including ionizing radiation, ultraviolet light, and replication fork stalling, thereby initiating a signaling cascade that culminates in cell cycle checkpoint activation (foote2015druggingatrprogress pages 1-2, foote2015druggingatrprogress pages 16-17). One of the primary substrates of ATR is checkpoint kinase 1 (CHK1), whose phosphorylation at specific serine residues (e.g., Ser-345) triggers cell cycle arrest and provides time for DNA repair processes to be executed (foote2015druggingatrprogress pages 17-18, foote2015druggingatrprogress pages 10-11). In addition to CHK1, ATR phosphorylates a variety of proteins involved in replication fork stabilization, DNA repair pathways, and chromatin remodeling, all of which contribute to the maintenance of genomic stability and cell survival under stress conditions (foote2015druggingatrprogress pages 1-2, foote2015druggingatrprogress pages 9-10). Loss or inhibition of ATR function has been shown to result in replication defects, accumulation of DNA breaks, and ultimately genomic instability, which underscores its essential role in both normal cellular physiology and the response to anticancer therapies (foote2015druggingatrprogress pages 17-18, foote2015druggingatrprogress pages 19-20).</w:t>
      </w:r>
    </w:p>
    <w:p>
      <w:pPr>
        <w:numPr>
          <w:ilvl w:val="0"/>
          <w:numId w:val="1001"/>
        </w:numPr>
      </w:pPr>
      <w:r>
        <w:t xml:space="preserve">Other Comments</w:t>
      </w:r>
      <w:r>
        <w:br/>
      </w:r>
      <w:r>
        <w:t xml:space="preserve">A number of small molecule inhibitors targeting ATR have been developed with the aim of sensitizing cancer cells to DNA-damaging agents. Notable examples include VX-970 (also known as VE-822), AZ20, and AZD6738, which have demonstrated potent and selective inhibition of ATR kinase activity in preclinical cancer models (foote2015druggingatrprogress pages 12-14, foote2015druggingatrprogress pages 14-14). These inhibitors are particularly effective in tumors deficient in ATM or those exhibiting high levels of replication stress, thereby exploiting synthetic lethal interactions (foote2015druggingatrprogress pages 19-20). In addition to its role in cancer therapy, mutations in ATR are associated with Seckel Syndrome—a developmental disorder characterized by growth retardation and microcephaly—highlighting its importance in human development and organismal viability (foote2015druggingatrprogress pages 1-2, foote2015druggingatrprogress pages 17-18). While several ATR inhibitors are in various stages of clinical development, none have yet received regulatory approval, and ongoing research is focused on improving their pharmacological profiles and understanding their potential in combination regimens (attwood2021trendsinkinase pages 19-20, panzeca2023newindoleand pages 18-24).</w:t>
      </w:r>
    </w:p>
    <w:p>
      <w:pPr>
        <w:numPr>
          <w:ilvl w:val="0"/>
          <w:numId w:val="1001"/>
        </w:numPr>
      </w:pPr>
      <w:r>
        <w:t xml:space="preserve">References</w:t>
      </w:r>
      <w:r>
        <w:br/>
      </w:r>
    </w:p>
    <w:p>
      <w:pPr>
        <w:numPr>
          <w:ilvl w:val="0"/>
          <w:numId w:val="1001"/>
        </w:numPr>
      </w:pPr>
      <w:r>
        <w:t xml:space="preserve">Foote, K. M., Lau, A., &amp; Nissink, J. W. M. “Drugging ATR: progress in the development of specific inhibitors for the treatment of cancer.” Future Medicinal Chemistry, 7(7):873-91, Jun 2015. doi:10.4155/fmc.15.33 (foote2015druggingatrprogress pages 1-2, foote2015druggingatrprogress pages 14-16, foote2015druggingatrprogress pages 16-17, foote2015druggingatrprogress pages 17-18, foote2015druggingatrprogress pages 18-19, foote2015druggingatrprogress pages 2-4, foote2015druggingatrprogress pages 4-5, foote2015druggingatrprogress pages 9-10, foote2015druggingatrprogress pages 5-6, foote2015druggingatrprogress pages 6-7, foote2015druggingatrprogress pages 7-9, foote2015druggingatrprogress pages 11-12, foote2015druggingatrprogress pages 12-14, foote2015druggingatrprogress pages 14-14, foote2015druggingatrprogress pages 19-20).</w:t>
      </w:r>
      <w:r>
        <w:br/>
      </w:r>
    </w:p>
    <w:p>
      <w:pPr>
        <w:numPr>
          <w:ilvl w:val="0"/>
          <w:numId w:val="1001"/>
        </w:numPr>
      </w:pPr>
      <w:r>
        <w:t xml:space="preserve">Attwood, M. M., Fabbro, D., Sokolov, A. V., Knapp, S., &amp; Schiöth, H. B. “Trends in kinase drug discovery: targets, indications and inhibitor design.” Nature Reviews Drug Discovery, 20:839–861, Aug 2021. doi:10.1038/s41573-021-00252-y (attwood2021trendsinkinase pages 13-14, attwood2021trendsinkinase pages 19-20, attwood2021trendsinkinase pages 7-9, attwood2021trendsinkinase pages 6-7, attwood2021trendsinkinase pages 21-21).</w:t>
      </w:r>
      <w:r>
        <w:br/>
      </w:r>
    </w:p>
    <w:p>
      <w:pPr>
        <w:numPr>
          <w:ilvl w:val="0"/>
          <w:numId w:val="1001"/>
        </w:numPr>
      </w:pPr>
      <w:r>
        <w:t xml:space="preserve">Kumbhar, R., Vidal-Eychenié, S., Kontopoulos, D., Larroque, M., Larroque, C., Basbous, J., Kossida, S., Ribeyre, C., &amp; Constantinou, A. “Recruitment of ubiquitin-activating enzyme UBA1 to DNA by poly(ADP-ribose) promotes ATR signalling.” Life Science Alliance, Jun 2018. doi:10.26508/lsa.201800096 (kumbhar2018recruitmentofubiquitinactivating pages 16-16, kumbhar2018recruitmentofubiquitinactivating pages 10-10).</w:t>
      </w:r>
      <w:r>
        <w:br/>
      </w:r>
    </w:p>
    <w:p>
      <w:pPr>
        <w:numPr>
          <w:ilvl w:val="0"/>
          <w:numId w:val="1001"/>
        </w:numPr>
      </w:pPr>
      <w:r>
        <w:t xml:space="preserve">Blázquez, A.-B. &amp; Saiz, J.-C. “Potential for protein kinase pharmacological regulation in flaviviridae infections.” International Journal of Molecular Sciences, 21:9524, Dec 2020. doi:10.3390/ijms21249524 (blazquez2020potentialforprotein pages 1-2).</w:t>
      </w:r>
      <w:r>
        <w:br/>
      </w:r>
    </w:p>
    <w:p>
      <w:pPr>
        <w:numPr>
          <w:ilvl w:val="0"/>
          <w:numId w:val="1001"/>
        </w:numPr>
      </w:pPr>
      <w:r>
        <w:t xml:space="preserve">Rakshambikai, R., Manoharan, M., Gnanavel, M., &amp; Srinivasan, N. “Typical and atypical domain combinations in human protein kinases: functions, disease causing mutations and conservation in other primates.” RSC Advances, 5:25132–25148, Jan 2015. doi:10.1039/c4ra11685b (rakshambikai2015typicalandatypical pages 25-29, rakshambikai2015typicalandatypical pages 29-36).</w:t>
      </w:r>
      <w:r>
        <w:br/>
      </w:r>
    </w:p>
    <w:p>
      <w:pPr>
        <w:numPr>
          <w:ilvl w:val="0"/>
          <w:numId w:val="1001"/>
        </w:numPr>
      </w:pPr>
      <w:r>
        <w:t xml:space="preserve">Dylgjeri, E. &amp; Knudsen, K. E. “DNA-PKcs: a targetable protumorigenic protein kinase.” Cancer Research, 82:523–533, Dec 2022. doi:10.1158/0008-5472.can-21-1756 (dylgjeri2022dnapkcsatargetable pages 2-3).</w:t>
      </w:r>
      <w:r>
        <w:br/>
      </w:r>
    </w:p>
    <w:p>
      <w:pPr>
        <w:numPr>
          <w:ilvl w:val="0"/>
          <w:numId w:val="1001"/>
        </w:numPr>
      </w:pPr>
      <w:r>
        <w:t xml:space="preserve">Kim, J. H., Han, J. M., &amp; Kim, S. “Protein–protein interactions and multi-component complexes of aminoacyl-tRNA synthetases.” Topics in Current Chemistry, 344:119–144, Jan 2014. doi:10.1007/128_2013_479 (kim2014protein–proteininteractionsand pages 9-12).</w:t>
      </w:r>
    </w:p>
    <w:p>
      <w:pPr>
        <w:pStyle w:val="FirstParagraph"/>
      </w:pPr>
      <w:r>
        <w:t xml:space="preserve">References</w:t>
      </w:r>
    </w:p>
    <w:p>
      <w:pPr>
        <w:numPr>
          <w:ilvl w:val="0"/>
          <w:numId w:val="1002"/>
        </w:numPr>
      </w:pPr>
      <w:r>
        <w:t xml:space="preserve">(foote2015druggingatrprogress pages 1-2):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14-16):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16-17):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17-18):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18-19):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2-4):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4-5):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9-10):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(kumbhar2018recruitmentofubiquitinactivating pages 16-16): Ramhari Kumbhar, Sophie Vidal-Eychenié, D. Kontopoulos, M. Larroque, C. Larroque, J. Basbous, Sofia Kossida, C. Ribeyre, and A. Constantinou. Recruitment of ubiquitin-activating enzyme uba1 to dna by poly(adp-ribose) promotes atr signalling. Life Science Alliance, Jun 2018. URL: https://doi.org/10.26508/lsa.201800096, doi:10.26508/lsa.201800096. This article has 20 citations and is from a peer-reviewed journal.</w:t>
      </w:r>
    </w:p>
    <w:p>
      <w:pPr>
        <w:numPr>
          <w:ilvl w:val="0"/>
          <w:numId w:val="1002"/>
        </w:numPr>
      </w:pPr>
      <w:r>
        <w:t xml:space="preserve">(attwood2021trendsinkinase pages 13-14):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676 citations and is from a highest quality peer-reviewed journal.</w:t>
      </w:r>
    </w:p>
    <w:p>
      <w:pPr>
        <w:numPr>
          <w:ilvl w:val="0"/>
          <w:numId w:val="1002"/>
        </w:numPr>
      </w:pPr>
      <w:r>
        <w:t xml:space="preserve">(attwood2021trendsinkinase pages 19-20):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676 citations and is from a highest quality peer-reviewed journal.</w:t>
      </w:r>
    </w:p>
    <w:p>
      <w:pPr>
        <w:numPr>
          <w:ilvl w:val="0"/>
          <w:numId w:val="1002"/>
        </w:numPr>
      </w:pPr>
      <w:r>
        <w:t xml:space="preserve">(blazquez2020potentialforprotein pages 1-2): Ana-Belén Blázquez and Juan-Carlos Saiz. Potential for protein kinase pharmacological regulation in flaviviridae infections. International Journal of Molecular Sciences, 21:9524, Dec 2020. URL: https://doi.org/10.3390/ijms21249524, doi:10.3390/ijms21249524. This article has 15 citations and is from a peer-reviewed journal.</w:t>
      </w:r>
    </w:p>
    <w:p>
      <w:pPr>
        <w:numPr>
          <w:ilvl w:val="0"/>
          <w:numId w:val="1002"/>
        </w:numPr>
      </w:pPr>
      <w:r>
        <w:t xml:space="preserve">(foote2015druggingatrprogress pages 10-11):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12-14):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14-14):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19-20):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5-6):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6-7):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(foote2015druggingatrprogress pages 7-9):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(stach2013functionalanalysesof pages 53-58): L Stach. Functional analyses of pser and pthr binding domains. Unknown journal, 2013.</w:t>
      </w:r>
    </w:p>
    <w:p>
      <w:pPr>
        <w:numPr>
          <w:ilvl w:val="0"/>
          <w:numId w:val="1002"/>
        </w:numPr>
      </w:pPr>
      <w:r>
        <w:t xml:space="preserve">(attwood2021trendsinkinase pages 21-21):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676 citations and is from a highest quality peer-reviewed journal.</w:t>
      </w:r>
    </w:p>
    <w:p>
      <w:pPr>
        <w:numPr>
          <w:ilvl w:val="0"/>
          <w:numId w:val="1002"/>
        </w:numPr>
      </w:pPr>
      <w:r>
        <w:t xml:space="preserve">(attwood2021trendsinkinase pages 7-9):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676 citations and is from a highest quality peer-reviewed journal.</w:t>
      </w:r>
    </w:p>
    <w:p>
      <w:pPr>
        <w:numPr>
          <w:ilvl w:val="0"/>
          <w:numId w:val="1002"/>
        </w:numPr>
      </w:pPr>
      <w:r>
        <w:t xml:space="preserve">(kumbhar2018recruitmentofubiquitinactivating pages 10-10): Ramhari Kumbhar, Sophie Vidal-Eychenié, D. Kontopoulos, M. Larroque, C. Larroque, J. Basbous, Sofia Kossida, C. Ribeyre, and A. Constantinou. Recruitment of ubiquitin-activating enzyme uba1 to dna by poly(adp-ribose) promotes atr signalling. Life Science Alliance, Jun 2018. URL: https://doi.org/10.26508/lsa.201800096, doi:10.26508/lsa.201800096. This article has 20 citations and is from a peer-reviewed journal.</w:t>
      </w:r>
    </w:p>
    <w:p>
      <w:pPr>
        <w:numPr>
          <w:ilvl w:val="0"/>
          <w:numId w:val="1002"/>
        </w:numPr>
      </w:pPr>
      <w:r>
        <w:t xml:space="preserve">(moret2020aresourcefor pages 54-55):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2"/>
        </w:numPr>
      </w:pPr>
      <w:r>
        <w:t xml:space="preserve">(panzeca2023newindoleand pages 18-24): G Panzeca. New indole and 7-azaindole derivatives as protein kinase inhibitors. Unknown journal, 2023.</w:t>
      </w:r>
    </w:p>
    <w:p>
      <w:pPr>
        <w:numPr>
          <w:ilvl w:val="0"/>
          <w:numId w:val="1002"/>
        </w:numPr>
      </w:pPr>
      <w:r>
        <w:t xml:space="preserve">(attwood2021trendsinkinase pages 6-7):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676 citations and is from a highest quality peer-reviewed journal.</w:t>
      </w:r>
    </w:p>
    <w:p>
      <w:pPr>
        <w:numPr>
          <w:ilvl w:val="0"/>
          <w:numId w:val="1002"/>
        </w:numPr>
      </w:pPr>
      <w:r>
        <w:t xml:space="preserve">(dylgjeri2022dnapkcsatargetable pages 2-3):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(foote2015druggingatrprogress pages 11-12):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(kim2014protein–proteininteractionsand pages 9-12): Jong Hyun Kim, Jung Min Han, and Sunghoon Kim. Protein–protein interactions and multi-component complexes of aminoacyl-trna synthetases. Topics in Current Chemistry, 344:119-144, Jan 2014. URL: https://doi.org/10.1007/128_2013_479, doi:10.1007/128_2013_479. This article has 42 citations and is from a peer-reviewed journal.</w:t>
      </w:r>
    </w:p>
    <w:p>
      <w:pPr>
        <w:numPr>
          <w:ilvl w:val="0"/>
          <w:numId w:val="1002"/>
        </w:numPr>
      </w:pPr>
      <w:r>
        <w:t xml:space="preserve">(rakshambikai2015typicalandatypical pages 25-29):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p>
      <w:pPr>
        <w:numPr>
          <w:ilvl w:val="0"/>
          <w:numId w:val="1002"/>
        </w:numPr>
      </w:pPr>
      <w:r>
        <w:t xml:space="preserve">(rakshambikai2015typicalandatypical pages 29-36): Ramaswamy Rakshambikai, Malini Manoharan, Mutharasu Gnanavel, and Narayanaswamy Srinivasan. Typical and atypical domain combinations in human protein kinases: functions, disease causing mutations and conservation in other primates. RSC Advances, 5:25132-25148, Jan 2015. URL: https://doi.org/10.1039/c4ra11685b, doi:10.1039/c4ra11685b.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