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CAMK2A is a member of the calcium/calmodulin‐dependent protein kinase II (CaMKII) family, which is highly conserved from early metazoans to mammals. Orthologs of CAMK2A have been identified in diverse species, including invertebrates such as nematodes and choanoflagellates, as well as in chordates. In vertebrates, the CaMKII family diversified into four main isoforms (α, β, γ, and δ), with the alpha isoform being predominantly expressed in the brain. This evolutionary conservation underscores the fundamental role of CaMKII enzymes in calcium signal transduction and neuronal function (bhattacharyya2016molecularmechanismof pages 29-30, bhattacharyya2020structuralinsightsinto pages 5-6, pandini2019conformationalcouplingby pages 1-2).</w:t>
      </w:r>
    </w:p>
    <w:p>
      <w:pPr>
        <w:numPr>
          <w:ilvl w:val="0"/>
          <w:numId w:val="1001"/>
        </w:numPr>
      </w:pPr>
      <w:r>
        <w:t xml:space="preserve">Reaction Catalyzed</w:t>
      </w:r>
      <w:r>
        <w:br/>
      </w:r>
      <w:r>
        <w:t xml:space="preserve">CAMK2A catalyzes the transfer of the gamma‐phosphate group from ATP to a hydroxyl group on serine or threonine residues of protein substrates. The overall chemical reaction is as follows:</w:t>
      </w:r>
      <w:r>
        <w:br/>
      </w:r>
      <w:r>
        <w:t xml:space="preserve">ATP + [protein]–(L‐serine or L‐threonine) → ADP + [protein]–(L‐serine/threonine)‐phosphate + H⁺.</w:t>
      </w:r>
      <w:r>
        <w:br/>
      </w:r>
      <w:r>
        <w:t xml:space="preserve">This phosphorylation reaction modulates the activity, interactions, and function of substrate proteins (bhattacharyya2020structuralinsightsinto pages 3-5, colbran2004targetingofcalciumcalmodulindependent pages 1-2).</w:t>
      </w:r>
    </w:p>
    <w:p>
      <w:pPr>
        <w:numPr>
          <w:ilvl w:val="0"/>
          <w:numId w:val="1001"/>
        </w:numPr>
      </w:pPr>
      <w:r>
        <w:t xml:space="preserve">Cofactor Requirements</w:t>
      </w:r>
      <w:r>
        <w:br/>
      </w:r>
      <w:r>
        <w:t xml:space="preserve">The catalytic activity of CAMK2A is dependent on several cofactors. Activation requires the binding of calcium ions (Ca²⁺) to calmodulin, which, upon complex formation, induces the conformational changes necessary to displace the autoinhibitory segment. In addition, Mg²⁺ ions are essential for coordinating ATP binding in the active site, ensuring proper orientation for phosphate transfer (colbran2004targetingofcalciumcalmodulindependent pages 1-2, mohanan2022roleofca2+calmodulindependent pages 1-2, zhang2021calciumcalmodulin–dependentproteinkinase pages 1-2).</w:t>
      </w:r>
    </w:p>
    <w:p>
      <w:pPr>
        <w:numPr>
          <w:ilvl w:val="0"/>
          <w:numId w:val="1001"/>
        </w:numPr>
      </w:pPr>
      <w:r>
        <w:t xml:space="preserve">Substrate Specificity</w:t>
      </w:r>
      <w:r>
        <w:br/>
      </w:r>
      <w:r>
        <w:t xml:space="preserve">CAMK2A preferentially phosphorylates serine and threonine residues on a range of substrates that are central to synaptic signaling. Its substrate specificity is modulated by a dynamic regulatory mechanism: in the inactive state, the autoinhibitory domain blocks substrate access, whereas Ca²⁺/calmodulin binding and subsequent autophosphorylation release this inhibition. Consequently, CAMK2A phosphorylates proteins such as AMPA receptor subunits and NMDA receptor subunits—targets that are integral to excitatory synaptic transmission and plasticity. Substrate recognition is determined not by a single strict consensus motif but by local docking interactions and conformational context (mohanan2022roleofca2+calmodulindependent pages 29-30, colbran2004targetingofcalciumcalmodulindependent pages 1-2, zhang2021calciumcalmodulin–dependentproteinkinase pages 2-4).</w:t>
      </w:r>
    </w:p>
    <w:p>
      <w:pPr>
        <w:numPr>
          <w:ilvl w:val="0"/>
          <w:numId w:val="1001"/>
        </w:numPr>
      </w:pPr>
      <w:r>
        <w:t xml:space="preserve">Structure</w:t>
      </w:r>
      <w:r>
        <w:br/>
      </w:r>
      <w:r>
        <w:t xml:space="preserve">CAMK2A is organized into three principal domains. The N-terminal catalytic (kinase) domain features a bi-lobed structure with an ATP-binding N-lobe and a substrate-binding C-lobe. Immediately following the kinase domain is the regulatory segment, which comprises both an autoinhibitory region and a calmodulin-binding motif. In the resting, inactive state, the autoinhibitory segment occludes the active site. Upon Ca²⁺/calmodulin binding, this segment is displaced, enabling substrate access and autophosphorylation at the critical threonine residue (T286). The C-terminal association (hub) domain mediates oligomerization into multimeric holoenzymes—typically dodecamers or tetradecamers—organized in a ring-like structure. This oligomerization not only facilitates intersubunit trans-autophosphorylation but also contributes to cooperative activation and subunit exchange. Flexible linker regions connecting the kinase and hub domains permit dynamic rearrangements crucial for allosteric regulation (bhattacharyya2020structuralinsightsinto pages 1-3, bhattacharyya2016molecularmechanismof pages 29-30, colbran2004targetingofcalciumcalmodulindependent pages 1-2, pandini2019conformationalcouplingby pages 1-2).</w:t>
      </w:r>
    </w:p>
    <w:p>
      <w:pPr>
        <w:numPr>
          <w:ilvl w:val="0"/>
          <w:numId w:val="1001"/>
        </w:numPr>
      </w:pPr>
      <w:r>
        <w:t xml:space="preserve">Regulation</w:t>
      </w:r>
      <w:r>
        <w:br/>
      </w:r>
      <w:r>
        <w:t xml:space="preserve">CAMK2A is regulated predominantly by Ca²⁺/calmodulin binding and a cascade of autophosphorylation events. Initially, the binding of Ca²⁺ ions to calmodulin induces a conformational shift that displaces the autoinhibitory domain from the kinase active site. This displacement allows for trans-autophosphorylation at T286, a modification that locks the enzyme in an active, autonomously functioning state even when Ca²⁺ levels later decline. Subsequently, phosphorylation at residues T305/T306 serves as a negative regulatory mechanism by preventing re-association of Ca²⁺/calmodulin, thereby reducing further stimulation. Additionally, cooperative interactions and subunit exchange within the oligomeric holoenzyme propagate the activated state across multiple subunits. These allosteric and conformational regulatory mechanisms enable CAMK2A to function as a molecular memory switch in neurons (bhattacharyya2020structuralinsightsinto pages 5-6, colbran2004targetingofcalciumcalmodulindependent pages 2-3, pandini2019conformationalcouplingby pages 15-17, mohanan2022roleofca2+calmodulindependent pages 20-21).</w:t>
      </w:r>
    </w:p>
    <w:p>
      <w:pPr>
        <w:numPr>
          <w:ilvl w:val="0"/>
          <w:numId w:val="1001"/>
        </w:numPr>
      </w:pPr>
      <w:r>
        <w:t xml:space="preserve">Function</w:t>
      </w:r>
      <w:r>
        <w:br/>
      </w:r>
      <w:r>
        <w:t xml:space="preserve">CAMK2A plays a central role in neuronal signaling and synaptic plasticity. It is a key component of the NMDAR signaling complex located at excitatory synapses and is instrumental in the NMDAR-dependent potentiation of AMPARs, thereby modulating excitatory synaptic transmission. Through its kinase activity, CAMK2A regulates long-term potentiation (LTP)—a cellular correlate of learning and memory—as well as dendritic spine development and the migration of developing neurons. Furthermore, CAMK2A participates in intracellular signaling cascades by phosphorylating transcription factors; for example, it phosphorylates FOXO3 to activate its transcriptional activity and modulates ETS1 DNA-binding affinity in response to calcium signals. In specific signaling contexts, such as interferon-gamma stimulation, CAMK2A catalyzes the phosphorylation of STAT1, thus contributing to the activation of the JAK-STAT pathway (bhattacharyya2020structuralinsightsinto pages 1-3, mohanan2022roleofca2+calmodulindependent pages 1-2, colbran2004targetingofcalciumcalmodulindependent pages 2-3, mohanan2022roleofca2+calmodulindependent pages 29-30).</w:t>
      </w:r>
    </w:p>
    <w:p>
      <w:pPr>
        <w:numPr>
          <w:ilvl w:val="0"/>
          <w:numId w:val="1001"/>
        </w:numPr>
      </w:pPr>
      <w:r>
        <w:t xml:space="preserve">Other Comments</w:t>
      </w:r>
      <w:r>
        <w:br/>
      </w:r>
      <w:r>
        <w:t xml:space="preserve">Several experimental inhibitors targeting CAMK2A have been described, including endogenous peptides such as CaM-KIIN and related derivatives that inhibit kinase activity by interacting with the calmodulin-binding domain. Aberrant regulation of CAMK2A has been implicated in a variety of neurological disorders—including intellectual disability, autism spectrum disorders, and other synaptic dysfunctions—and it has also been linked to mechanisms underlying excitotoxicity in cerebrovascular events and certain cardiac abnormalities. These disease associations, along with its central role in synaptic plasticity, make CAMK2A a promising target for therapeutic intervention. Continued research is focused on developing highly selective inhibitors that can modulate CAMK2A activity for potential clinical applications (mohanan2022roleofca2+calmodulindependent pages 20-21, bhattacharyya2016molecularmechanismof pages 30-31, zhang2021calciumcalmodulin–dependentproteinkinase pages 1-2).</w:t>
      </w:r>
    </w:p>
    <w:p>
      <w:pPr>
        <w:numPr>
          <w:ilvl w:val="0"/>
          <w:numId w:val="1001"/>
        </w:numPr>
      </w:pPr>
      <w:r>
        <w:t xml:space="preserve">References</w:t>
      </w:r>
      <w:r>
        <w:br/>
      </w:r>
    </w:p>
    <w:p>
      <w:pPr>
        <w:numPr>
          <w:ilvl w:val="0"/>
          <w:numId w:val="1001"/>
        </w:numPr>
      </w:pPr>
      <w:r>
        <w:t xml:space="preserve">bhattacharyya2016molecularmechanismof pages 29-30</w:t>
      </w:r>
      <w:r>
        <w:br/>
      </w:r>
    </w:p>
    <w:p>
      <w:pPr>
        <w:numPr>
          <w:ilvl w:val="0"/>
          <w:numId w:val="1001"/>
        </w:numPr>
      </w:pPr>
      <w:r>
        <w:t xml:space="preserve">bhattacharyya2020structuralinsightsinto pages 1-3</w:t>
      </w:r>
      <w:r>
        <w:br/>
      </w:r>
    </w:p>
    <w:p>
      <w:pPr>
        <w:numPr>
          <w:ilvl w:val="0"/>
          <w:numId w:val="1001"/>
        </w:numPr>
      </w:pPr>
      <w:r>
        <w:t xml:space="preserve">bhattacharyya2020structuralinsightsinto pages 5-6</w:t>
      </w:r>
      <w:r>
        <w:br/>
      </w:r>
    </w:p>
    <w:p>
      <w:pPr>
        <w:numPr>
          <w:ilvl w:val="0"/>
          <w:numId w:val="1001"/>
        </w:numPr>
      </w:pPr>
      <w:r>
        <w:t xml:space="preserve">colbran2004targetingofcalciumcalmodulindependent pages 1-2</w:t>
      </w:r>
      <w:r>
        <w:br/>
      </w:r>
    </w:p>
    <w:p>
      <w:pPr>
        <w:numPr>
          <w:ilvl w:val="0"/>
          <w:numId w:val="1001"/>
        </w:numPr>
      </w:pPr>
      <w:r>
        <w:t xml:space="preserve">colbran2004targetingofcalciumcalmodulindependent pages 2-3</w:t>
      </w:r>
      <w:r>
        <w:br/>
      </w:r>
    </w:p>
    <w:p>
      <w:pPr>
        <w:numPr>
          <w:ilvl w:val="0"/>
          <w:numId w:val="1001"/>
        </w:numPr>
      </w:pPr>
      <w:r>
        <w:t xml:space="preserve">mohanan2022roleofca2+calmodulindependent pages 1-2</w:t>
      </w:r>
      <w:r>
        <w:br/>
      </w:r>
    </w:p>
    <w:p>
      <w:pPr>
        <w:numPr>
          <w:ilvl w:val="0"/>
          <w:numId w:val="1001"/>
        </w:numPr>
      </w:pPr>
      <w:r>
        <w:t xml:space="preserve">mohanan2022roleofca2+calmodulindependent pages 20-21</w:t>
      </w:r>
      <w:r>
        <w:br/>
      </w:r>
    </w:p>
    <w:p>
      <w:pPr>
        <w:numPr>
          <w:ilvl w:val="0"/>
          <w:numId w:val="1001"/>
        </w:numPr>
      </w:pPr>
      <w:r>
        <w:t xml:space="preserve">mohanan2022roleofca2+calmodulindependent pages 29-30</w:t>
      </w:r>
      <w:r>
        <w:br/>
      </w:r>
    </w:p>
    <w:p>
      <w:pPr>
        <w:numPr>
          <w:ilvl w:val="0"/>
          <w:numId w:val="1001"/>
        </w:numPr>
      </w:pPr>
      <w:r>
        <w:t xml:space="preserve">pandini2019conformationalcouplingby pages 1-2</w:t>
      </w:r>
      <w:r>
        <w:br/>
      </w:r>
    </w:p>
    <w:p>
      <w:pPr>
        <w:numPr>
          <w:ilvl w:val="0"/>
          <w:numId w:val="1001"/>
        </w:numPr>
      </w:pPr>
      <w:r>
        <w:t xml:space="preserve">zhang2021calciumcalmodulin–dependentproteinkinase pages 1-2</w:t>
      </w:r>
      <w:r>
        <w:br/>
      </w:r>
    </w:p>
    <w:p>
      <w:pPr>
        <w:numPr>
          <w:ilvl w:val="0"/>
          <w:numId w:val="1001"/>
        </w:numPr>
      </w:pPr>
      <w:r>
        <w:t xml:space="preserve">zhang2021calciumcalmodulin–dependentproteinkinase pages 2-4</w:t>
      </w:r>
      <w:r>
        <w:br/>
      </w:r>
    </w:p>
    <w:p>
      <w:pPr>
        <w:numPr>
          <w:ilvl w:val="0"/>
          <w:numId w:val="1001"/>
        </w:numPr>
      </w:pPr>
      <w:r>
        <w:t xml:space="preserve">khan2022conformationalspreaddrives pages 11-12</w:t>
      </w:r>
    </w:p>
    <w:p>
      <w:pPr>
        <w:pStyle w:val="FirstParagraph"/>
      </w:pPr>
      <w:r>
        <w:t xml:space="preserve">References</w:t>
      </w:r>
    </w:p>
    <w:p>
      <w:pPr>
        <w:numPr>
          <w:ilvl w:val="0"/>
          <w:numId w:val="1002"/>
        </w:numPr>
      </w:pPr>
      <w:r>
        <w:t xml:space="preserve">(bhattacharyya2016molecularmechanismof pages 29-30): Moitrayee Bhattacharyya, M. Stratton, Catherine C Going, E. McSpadden, Yongjian Huang, Anna C. Susa, Anna V. Elleman, Yumeng Cao, N. Pappireddi, P. Burkhardt, C. Gee, T. Barros, H. Schulman, E. Williams, and J. Kuriyan. Molecular mechanism of activation-triggered subunit exchange in ca2+/calmodulin-dependent protein kinase ii. eLife, Mar 2016. URL: https://doi.org/10.7554/elife.13405, doi:10.7554/elife.13405. This article has 123 citations and is from a domain leading peer-reviewed journal.</w:t>
      </w:r>
    </w:p>
    <w:p>
      <w:pPr>
        <w:numPr>
          <w:ilvl w:val="0"/>
          <w:numId w:val="1002"/>
        </w:numPr>
      </w:pPr>
      <w:r>
        <w:t xml:space="preserve">(bhattacharyya2020structuralinsightsinto pages 1-3): Moitrayee Bhattacharyya, Deepti Karandur, and John Kuriyan. Structural insights into the regulation of ca</w:t>
      </w:r>
      <w:r>
        <w:t xml:space="preserve">2+</w:t>
      </w:r>
      <w:r>
        <w:t xml:space="preserve">/calmodulin-dependent protein kinase ii (camkii). Cold Spring Harbor Perspectives in Biology, 12:a035147, Oct 2020. URL: https://doi.org/10.1101/cshperspect.a035147, doi:10.1101/cshperspect.a035147. This article has 90 citations and is from a peer-reviewed journal.</w:t>
      </w:r>
    </w:p>
    <w:p>
      <w:pPr>
        <w:numPr>
          <w:ilvl w:val="0"/>
          <w:numId w:val="1002"/>
        </w:numPr>
      </w:pPr>
      <w:r>
        <w:t xml:space="preserve">(bhattacharyya2020structuralinsightsinto pages 3-5): Moitrayee Bhattacharyya, Deepti Karandur, and John Kuriyan. Structural insights into the regulation of ca</w:t>
      </w:r>
      <w:r>
        <w:t xml:space="preserve">2+</w:t>
      </w:r>
      <w:r>
        <w:t xml:space="preserve">/calmodulin-dependent protein kinase ii (camkii). Cold Spring Harbor Perspectives in Biology, 12:a035147, Oct 2020. URL: https://doi.org/10.1101/cshperspect.a035147, doi:10.1101/cshperspect.a035147. This article has 90 citations and is from a peer-reviewed journal.</w:t>
      </w:r>
    </w:p>
    <w:p>
      <w:pPr>
        <w:numPr>
          <w:ilvl w:val="0"/>
          <w:numId w:val="1002"/>
        </w:numPr>
      </w:pPr>
      <w:r>
        <w:t xml:space="preserve">(bhattacharyya2020structuralinsightsinto pages 5-6): Moitrayee Bhattacharyya, Deepti Karandur, and John Kuriyan. Structural insights into the regulation of ca</w:t>
      </w:r>
      <w:r>
        <w:t xml:space="preserve">2+</w:t>
      </w:r>
      <w:r>
        <w:t xml:space="preserve">/calmodulin-dependent protein kinase ii (camkii). Cold Spring Harbor Perspectives in Biology, 12:a035147, Oct 2020. URL: https://doi.org/10.1101/cshperspect.a035147, doi:10.1101/cshperspect.a035147. This article has 90 citations and is from a peer-reviewed journal.</w:t>
      </w:r>
    </w:p>
    <w:p>
      <w:pPr>
        <w:numPr>
          <w:ilvl w:val="0"/>
          <w:numId w:val="1002"/>
        </w:numPr>
      </w:pPr>
      <w:r>
        <w:t xml:space="preserve">(colbran2004targetingofcalciumcalmodulindependent pages 1-2): RJ Colbran. Targeting of calcium/calmodulin-dependent protein kinase ii. Unknown journal, 2004.</w:t>
      </w:r>
    </w:p>
    <w:p>
      <w:pPr>
        <w:numPr>
          <w:ilvl w:val="0"/>
          <w:numId w:val="1002"/>
        </w:numPr>
      </w:pPr>
      <w:r>
        <w:t xml:space="preserve">(colbran2004targetingofcalciumcalmodulindependent pages 2-3): RJ Colbran. Targeting of calcium/calmodulin-dependent protein kinase ii. Unknown journal, 2004.</w:t>
      </w:r>
    </w:p>
    <w:p>
      <w:pPr>
        <w:numPr>
          <w:ilvl w:val="0"/>
          <w:numId w:val="1002"/>
        </w:numPr>
      </w:pPr>
      <w:r>
        <w:t xml:space="preserve">(mohanan2022roleofca2+calmodulindependent pages 1-2):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(mohanan2022roleofca2+calmodulindependent pages 20-21):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(mohanan2022roleofca2+calmodulindependent pages 29-30):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(zhang2021calciumcalmodulin–dependentproteinkinase pages 1-2): Xuejing Zhang, Jaclyn Connelly, Edwin S. Levitan, Dandan Sun, and Jane Q. Wang. Calcium/calmodulin–dependent protein kinase ii in cerebrovascular diseases. Translational Stroke Research, 12:513-529, Mar 2021. URL: https://doi.org/10.1007/s12975-021-00901-9, doi:10.1007/s12975-021-00901-9. This article has 53 citations and is from a peer-reviewed journal.</w:t>
      </w:r>
    </w:p>
    <w:p>
      <w:pPr>
        <w:numPr>
          <w:ilvl w:val="0"/>
          <w:numId w:val="1002"/>
        </w:numPr>
      </w:pPr>
      <w:r>
        <w:t xml:space="preserve">(zhang2021calciumcalmodulin–dependentproteinkinase pages 2-4): Xuejing Zhang, Jaclyn Connelly, Edwin S. Levitan, Dandan Sun, and Jane Q. Wang. Calcium/calmodulin–dependent protein kinase ii in cerebrovascular diseases. Translational Stroke Research, 12:513-529, Mar 2021. URL: https://doi.org/10.1007/s12975-021-00901-9, doi:10.1007/s12975-021-00901-9. This article has 53 citations and is from a peer-reviewed journal.</w:t>
      </w:r>
    </w:p>
    <w:p>
      <w:pPr>
        <w:numPr>
          <w:ilvl w:val="0"/>
          <w:numId w:val="1002"/>
        </w:numPr>
      </w:pPr>
      <w:r>
        <w:t xml:space="preserve">(bhattacharyya2016molecularmechanismof pages 30-31): Moitrayee Bhattacharyya, M. Stratton, Catherine C Going, E. McSpadden, Yongjian Huang, Anna C. Susa, Anna V. Elleman, Yumeng Cao, N. Pappireddi, P. Burkhardt, C. Gee, T. Barros, H. Schulman, E. Williams, and J. Kuriyan. Molecular mechanism of activation-triggered subunit exchange in ca2+/calmodulin-dependent protein kinase ii. eLife, Mar 2016. URL: https://doi.org/10.7554/elife.13405, doi:10.7554/elife.13405. This article has 123 citations and is from a domain leading peer-reviewed journal.</w:t>
      </w:r>
    </w:p>
    <w:p>
      <w:pPr>
        <w:numPr>
          <w:ilvl w:val="0"/>
          <w:numId w:val="1002"/>
        </w:numPr>
      </w:pPr>
      <w:r>
        <w:t xml:space="preserve">(khan2022conformationalspreaddrives pages 11-12): Shahid Khan. Conformational spread drives the evolution of the calcium–calmodulin protein kinase ii. Scientific Reports, May 2022. URL: https://doi.org/10.1038/s41598-022-12090-y, doi:10.1038/s41598-022-12090-y. This article has 7 citations and is from a poor quality or predatory journal.</w:t>
      </w:r>
    </w:p>
    <w:p>
      <w:pPr>
        <w:numPr>
          <w:ilvl w:val="0"/>
          <w:numId w:val="1002"/>
        </w:numPr>
      </w:pPr>
      <w:r>
        <w:t xml:space="preserve">(pandini2019conformationalcouplingby pages 1-2): A. Pandini, H. Schulman, and Shahid Khan. Conformational coupling by trans-phosphorylation in calcium calmodulin dependent kinase ii. PLoS Computational Biology, Jan 2019. URL: https://doi.org/10.1371/journal.pcbi.1006796, doi:10.1371/journal.pcbi.1006796. This article has 5 citations and is from a highest quality peer-reviewed journal.</w:t>
      </w:r>
    </w:p>
    <w:p>
      <w:pPr>
        <w:numPr>
          <w:ilvl w:val="0"/>
          <w:numId w:val="1002"/>
        </w:numPr>
      </w:pPr>
      <w:r>
        <w:t xml:space="preserve">(pandini2019conformationalcouplingby pages 15-17): A. Pandini, H. Schulman, and Shahid Khan. Conformational coupling by trans-phosphorylation in calcium calmodulin dependent kinase ii. PLoS Computational Biology, Jan 2019. URL: https://doi.org/10.1371/journal.pcbi.1006796, doi:10.1371/journal.pcbi.1006796. This article has 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