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Casein kinase I isoform alpha (CK1α, CSNK1A1, Uniprot P48729) belongs to a highly conserved family of serine/threonine protein kinases that can be traced back to the Last Eukaryotic Common Ancestor, with orthologs present from yeast to mammals (fulcher2020functionsandregulation pages 13-14).</w:t>
      </w:r>
      <w:r>
        <w:br/>
      </w:r>
      <w:r>
        <w:t xml:space="preserve">CK1α is classified within the CK1 family, which also includes isoforms such as CK1δ, CK1ε, and several CK1γ variants that share significant sequence similarity in their catalytic domains yet diverge in their regulatory regions (jiang2018caseinkinase1α pages 1-3).</w:t>
      </w:r>
      <w:r>
        <w:br/>
      </w:r>
      <w:r>
        <w:t xml:space="preserve">Comparative sequence analyses reveal that its kinase domain has been preserved throughout evolution, underscoring its essential regulatory functions in diverse signal transduction pathways across species (knippschild2005theroleof pages 1-2).</w:t>
      </w:r>
      <w:r>
        <w:br/>
      </w:r>
      <w:r>
        <w:t xml:space="preserve">Studies on gene cloning and chromosomal mapping further corroborate the conservation of CK1 isoforms among vertebrates, emphasizing the structural and functional conservation of their catalytic cores (kusuda2000cloningexpressionanalysis pages 1-2).</w:t>
      </w:r>
      <w:r>
        <w:br/>
      </w:r>
      <w:r>
        <w:t xml:space="preserve">The evolutionary relationships among CK1 isoforms position CK1α as part of an ancient kinome core that includes many other serine/threonine kinases involved in fundamental cellular processes (fulcher2020functionsandregulation pages 1-2).</w:t>
      </w:r>
      <w:r>
        <w:br/>
      </w:r>
      <w:r>
        <w:t xml:space="preserve">Phylogenetic data indicate that the regulatory versatility of CK1α is achieved primarily through diversification in its non-catalytic regions while maintaining a conserved kinase fold (jiang2018caseinkinase1α pages 6-7).</w:t>
      </w:r>
    </w:p>
    <w:p>
      <w:pPr>
        <w:numPr>
          <w:ilvl w:val="0"/>
          <w:numId w:val="1001"/>
        </w:numPr>
      </w:pPr>
      <w:r>
        <w:t xml:space="preserve">Reaction Catalyzed – CK1α catalyzes the transfer of a phosphate group from ATP to the hydroxyl group of serine or threonine residues on substrate proteins, thereby converting ATP into ADP and producing a phosphorylated protein along with a proton (fulcher2020functionsandregulation pages 1-2).</w:t>
      </w:r>
    </w:p>
    <w:p>
      <w:pPr>
        <w:numPr>
          <w:ilvl w:val="0"/>
          <w:numId w:val="1001"/>
        </w:numPr>
      </w:pPr>
      <w:r>
        <w:t xml:space="preserve">Cofactor Requirements – The catalytic activity of CK1α is strictly dependent on the presence of divalent metal ions, with Mg²⁺ being required to coordinate ATP binding and catalysis (mashhoon2000crystalstructureof pages 1-1).</w:t>
      </w:r>
    </w:p>
    <w:p>
      <w:pPr>
        <w:numPr>
          <w:ilvl w:val="0"/>
          <w:numId w:val="1001"/>
        </w:numPr>
      </w:pPr>
      <w:r>
        <w:t xml:space="preserve">Substrate Specificity – CK1α preferentially phosphorylates substrates that contain acidic residues or pre-phosphorylated serine/threonine residues in close proximity to the target site, as exemplified by its phosphorylation of CTNNB1 at Ser-45 (jiang2018caseinkinase1α pages 6-7).</w:t>
      </w:r>
      <w:r>
        <w:br/>
      </w:r>
      <w:r>
        <w:t xml:space="preserve">This consensus substrate motif, characterized by a requirement for a priming phosphate or nearby acidic residues, defines the operational specificity of CK1α and distinguishes it from other kinases (fulcher2020functionsandregulation pages 7-10).</w:t>
      </w:r>
      <w:r>
        <w:br/>
      </w:r>
      <w:r>
        <w:t xml:space="preserve">The enzyme is operationally defined by its preferential utilization of acidic proteins such as caseins as substrates, underscoring its inherent bias for negative charges in substrate recognition (schittek2014biologicalfunctionsof pages 13-13).</w:t>
      </w:r>
    </w:p>
    <w:p>
      <w:pPr>
        <w:numPr>
          <w:ilvl w:val="0"/>
          <w:numId w:val="1001"/>
        </w:numPr>
      </w:pPr>
      <w:r>
        <w:t xml:space="preserve">Structure – CK1α possesses a central, conserved kinase domain comprised of approximately 286–293 amino acids that houses the catalytic machinery essential for phosphoryl transfer (mashhoon2000crystalstructureof pages 1-1).</w:t>
      </w:r>
      <w:r>
        <w:br/>
      </w:r>
      <w:r>
        <w:t xml:space="preserve">This kinase domain adopts a bilobal structure with a smaller N-terminal lobe enriched in β-sheets, and a larger C-terminal lobe composed predominantly of α-helices that form the substrate and ATP binding sites (fulcher2020functionsandregulation pages 10-11).</w:t>
      </w:r>
      <w:r>
        <w:br/>
      </w:r>
      <w:r>
        <w:t xml:space="preserve">The enzyme also exhibits variable regulatory regions generated through alternative splicing, which result in distinct C-terminal extensions that can modulate subcellular localization and protein–protein interactions (kusuda2000cloningexpressionanalysis pages 4-5).</w:t>
      </w:r>
      <w:r>
        <w:br/>
      </w:r>
      <w:r>
        <w:t xml:space="preserve">Key structural features include the activation loop and C-helix within the catalytic domain, which are critical for proper alignment of catalytic residues and the formation of the hydrophobic spine necessary for activity (fulcher2020functionsandregulation pages 15-16).</w:t>
      </w:r>
      <w:r>
        <w:br/>
      </w:r>
      <w:r>
        <w:t xml:space="preserve">Additionally, CK1α displays dual-specificity characteristics, as it is capable of phosphorylating both serine and threonine residues and, under certain conditions, may also target tyrosine residues (cozza2016caseinkinasesas pages 3-4).</w:t>
      </w:r>
    </w:p>
    <w:p>
      <w:pPr>
        <w:numPr>
          <w:ilvl w:val="0"/>
          <w:numId w:val="1001"/>
        </w:numPr>
      </w:pPr>
      <w:r>
        <w:t xml:space="preserve">Regulation – CK1α is subject to multifaceted regulation that includes autophosphorylation of its C-terminal domain, which acts as a negative regulatory mechanism to modulate its intrinsic activity (jiang2018caseinkinase1α pages 15-17).</w:t>
      </w:r>
      <w:r>
        <w:br/>
      </w:r>
      <w:r>
        <w:t xml:space="preserve">In addition, binding to regulatory proteins such as members of the FAM83 family (e.g., FAM83D and FAM83H) directs CK1α to specific subcellular compartments including mitotic spindles and nuclear speckles, thereby influencing its substrate accessibility (fulcher2020functionsandregulation pages 19-19).</w:t>
      </w:r>
      <w:r>
        <w:br/>
      </w:r>
      <w:r>
        <w:t xml:space="preserve">Interactions with RNA helicases, such as DDX3, have been documented to modulate CK1α’s participation in key signaling cascades like the Wnt/β-catenin pathway (jiang2018caseinkinase1α pages 15-17).</w:t>
      </w:r>
      <w:r>
        <w:br/>
      </w:r>
      <w:r>
        <w:t xml:space="preserve">Post-translational modifications by other kinases, including phosphorylation by checkpoint kinases and cyclin-dependent kinases, further fine-tune CK1α activity during cell cycle progression and stress responses (jiang2018caseinkinase1α pages 22-23).</w:t>
      </w:r>
      <w:r>
        <w:br/>
      </w:r>
      <w:r>
        <w:t xml:space="preserve">Collectively, these regulatory mechanisms ensure that CK1α activity is tightly controlled in a context-dependent manner to maintain appropriate cellular signaling outputs (fulcher2020functionsandregulation pages 18-19).</w:t>
      </w:r>
    </w:p>
    <w:p>
      <w:pPr>
        <w:numPr>
          <w:ilvl w:val="0"/>
          <w:numId w:val="1001"/>
        </w:numPr>
      </w:pPr>
      <w:r>
        <w:t xml:space="preserve">Function – CK1α is ubiquitously expressed and performs a broad range of cellular functions by acting as a pivotal effector in several signaling pathways (jiang2018caseinkinase1α pages 12-14).</w:t>
      </w:r>
      <w:r>
        <w:br/>
      </w:r>
      <w:r>
        <w:t xml:space="preserve">It plays a crucial role in the Wnt/β-catenin signaling pathway by phosphorylating CTNNB1 at Ser-45, thereby contributing to the regulation of β-catenin stability and downstream transcriptional events (jiang2018caseinkinase1α pages 12-14).</w:t>
      </w:r>
      <w:r>
        <w:br/>
      </w:r>
      <w:r>
        <w:t xml:space="preserve">CK1α is implicated in circadian rhythm regulation, where it potentially phosphorylates key clock proteins such as PER1 and PER2 to modulate the periodicity of circadian cycles (jiang2018caseinkinase1α pages 6-7).</w:t>
      </w:r>
      <w:r>
        <w:br/>
      </w:r>
      <w:r>
        <w:t xml:space="preserve">During mitosis, CK1α localizes to the mitotic spindle through interactions with proteins like FAM83D, thereby participating in the proper segregation of chromosomes (fulcher2020functionsandregulation pages 7-10).</w:t>
      </w:r>
      <w:r>
        <w:br/>
      </w:r>
      <w:r>
        <w:t xml:space="preserve">Furthermore, CK1α influences cytoskeletal dynamics by phosphorylating keratin proteins, which may lead to disassembly of the keratin cytoskeleton and promote epithelial cell migration (fulcher2020functionsandregulation pages 19-19).</w:t>
      </w:r>
      <w:r>
        <w:br/>
      </w:r>
      <w:r>
        <w:t xml:space="preserve">Additional functional roles include its involvement in tumor suppression via regulation of p53 stability (through interactions with MDM2 and MDMX) and its participation in host defense mechanisms through alterations in signal transduction cascades (jiang2018caseinkinase1α pages 22-23).</w:t>
      </w:r>
    </w:p>
    <w:p>
      <w:pPr>
        <w:numPr>
          <w:ilvl w:val="0"/>
          <w:numId w:val="1001"/>
        </w:numPr>
      </w:pPr>
      <w:r>
        <w:t xml:space="preserve">Other Comments – Several small molecule inhibitors have been developed to target CK1 isoforms, with agents such as D4476 and IC261 being used extensively as experimental probes despite challenges in achieving absolute selectivity due to high sequence conservation among isoforms (mashhoon2000crystalstructureof pages 1-1).</w:t>
      </w:r>
      <w:r>
        <w:br/>
      </w:r>
      <w:r>
        <w:t xml:space="preserve">Multi-kinase inhibitors like BTX-A51 have also demonstrated activity against CK1α, highlighting the therapeutic potential of modulating its kinase activity in oncology and other diseases (baier2022ck2andprotein pages 10-13).</w:t>
      </w:r>
      <w:r>
        <w:br/>
      </w:r>
      <w:r>
        <w:t xml:space="preserve">Alterations in CK1α expression or activity have been associated with a spectrum of pathological conditions, including various cancers and neurodegenerative disorders, wherein its dysregulation can lead to aberrant Wnt signaling as well as impaired cell cycle control (jiang2018caseinkinase1α pages 22-23).</w:t>
      </w:r>
      <w:r>
        <w:br/>
      </w:r>
      <w:r>
        <w:t xml:space="preserve">The critical involvement of CK1α in processes such as chromosome segregation, circadian regulation, and cytoskeletal dynamics presents opportunities for further research into its role as a potential therapeutic target (janovska2020targetingcaseinkinase pages 18-19).</w:t>
      </w:r>
    </w:p>
    <w:p>
      <w:pPr>
        <w:numPr>
          <w:ilvl w:val="0"/>
          <w:numId w:val="1001"/>
        </w:numPr>
      </w:pPr>
      <w:r>
        <w:t xml:space="preserve">References</w:t>
      </w:r>
      <w:r>
        <w:br/>
      </w:r>
    </w:p>
    <w:p>
      <w:pPr>
        <w:numPr>
          <w:ilvl w:val="0"/>
          <w:numId w:val="1001"/>
        </w:numPr>
      </w:pPr>
      <w:r>
        <w:t xml:space="preserve">fulcher2020functionsandregulation pages 13-14</w:t>
      </w:r>
      <w:r>
        <w:br/>
      </w:r>
    </w:p>
    <w:p>
      <w:pPr>
        <w:numPr>
          <w:ilvl w:val="0"/>
          <w:numId w:val="1001"/>
        </w:numPr>
      </w:pPr>
      <w:r>
        <w:t xml:space="preserve">jiang2018caseinkinase1α pages 1-3</w:t>
      </w:r>
      <w:r>
        <w:br/>
      </w:r>
    </w:p>
    <w:p>
      <w:pPr>
        <w:numPr>
          <w:ilvl w:val="0"/>
          <w:numId w:val="1001"/>
        </w:numPr>
      </w:pPr>
      <w:r>
        <w:t xml:space="preserve">knippschild2005theroleof pages 1-2</w:t>
      </w:r>
      <w:r>
        <w:br/>
      </w:r>
    </w:p>
    <w:p>
      <w:pPr>
        <w:numPr>
          <w:ilvl w:val="0"/>
          <w:numId w:val="1001"/>
        </w:numPr>
      </w:pPr>
      <w:r>
        <w:t xml:space="preserve">kusuda2000cloningexpressionanalysis pages 1-2</w:t>
      </w:r>
      <w:r>
        <w:br/>
      </w:r>
    </w:p>
    <w:p>
      <w:pPr>
        <w:numPr>
          <w:ilvl w:val="0"/>
          <w:numId w:val="1001"/>
        </w:numPr>
      </w:pPr>
      <w:r>
        <w:t xml:space="preserve">mashhoon2000crystalstructureof pages 1-1</w:t>
      </w:r>
      <w:r>
        <w:br/>
      </w:r>
    </w:p>
    <w:p>
      <w:pPr>
        <w:numPr>
          <w:ilvl w:val="0"/>
          <w:numId w:val="1001"/>
        </w:numPr>
      </w:pPr>
      <w:r>
        <w:t xml:space="preserve">jiang2018caseinkinase1α pages 6-7</w:t>
      </w:r>
      <w:r>
        <w:br/>
      </w:r>
    </w:p>
    <w:p>
      <w:pPr>
        <w:numPr>
          <w:ilvl w:val="0"/>
          <w:numId w:val="1001"/>
        </w:numPr>
      </w:pPr>
      <w:r>
        <w:t xml:space="preserve">fulcher2020functionsandregulation pages 1-2</w:t>
      </w:r>
      <w:r>
        <w:br/>
      </w:r>
    </w:p>
    <w:p>
      <w:pPr>
        <w:numPr>
          <w:ilvl w:val="0"/>
          <w:numId w:val="1001"/>
        </w:numPr>
      </w:pPr>
      <w:r>
        <w:t xml:space="preserve">fulcher2020functionsandregulation pages 7-10</w:t>
      </w:r>
      <w:r>
        <w:br/>
      </w:r>
    </w:p>
    <w:p>
      <w:pPr>
        <w:numPr>
          <w:ilvl w:val="0"/>
          <w:numId w:val="1001"/>
        </w:numPr>
      </w:pPr>
      <w:r>
        <w:t xml:space="preserve">jiang2018caseinkinase1α pages 12-14</w:t>
      </w:r>
      <w:r>
        <w:br/>
      </w:r>
    </w:p>
    <w:p>
      <w:pPr>
        <w:numPr>
          <w:ilvl w:val="0"/>
          <w:numId w:val="1001"/>
        </w:numPr>
      </w:pPr>
      <w:r>
        <w:t xml:space="preserve">schittek2014biologicalfunctionsof pages 13-13</w:t>
      </w:r>
      <w:r>
        <w:br/>
      </w:r>
    </w:p>
    <w:p>
      <w:pPr>
        <w:numPr>
          <w:ilvl w:val="0"/>
          <w:numId w:val="1001"/>
        </w:numPr>
      </w:pPr>
      <w:r>
        <w:t xml:space="preserve">jiang2018caseinkinase1α pages 15-17</w:t>
      </w:r>
      <w:r>
        <w:br/>
      </w:r>
    </w:p>
    <w:p>
      <w:pPr>
        <w:numPr>
          <w:ilvl w:val="0"/>
          <w:numId w:val="1001"/>
        </w:numPr>
      </w:pPr>
      <w:r>
        <w:t xml:space="preserve">jiang2018caseinkinase1α pages 22-23</w:t>
      </w:r>
      <w:r>
        <w:br/>
      </w:r>
    </w:p>
    <w:p>
      <w:pPr>
        <w:numPr>
          <w:ilvl w:val="0"/>
          <w:numId w:val="1001"/>
        </w:numPr>
      </w:pPr>
      <w:r>
        <w:t xml:space="preserve">fulcher2020functionsandregulation pages 10-11</w:t>
      </w:r>
      <w:r>
        <w:br/>
      </w:r>
    </w:p>
    <w:p>
      <w:pPr>
        <w:numPr>
          <w:ilvl w:val="0"/>
          <w:numId w:val="1001"/>
        </w:numPr>
      </w:pPr>
      <w:r>
        <w:t xml:space="preserve">fulcher2020functionsandregulation pages 15-16</w:t>
      </w:r>
      <w:r>
        <w:br/>
      </w:r>
    </w:p>
    <w:p>
      <w:pPr>
        <w:numPr>
          <w:ilvl w:val="0"/>
          <w:numId w:val="1001"/>
        </w:numPr>
      </w:pPr>
      <w:r>
        <w:t xml:space="preserve">fulcher2020functionsandregulation pages 18-19</w:t>
      </w:r>
      <w:r>
        <w:br/>
      </w:r>
    </w:p>
    <w:p>
      <w:pPr>
        <w:numPr>
          <w:ilvl w:val="0"/>
          <w:numId w:val="1001"/>
        </w:numPr>
      </w:pPr>
      <w:r>
        <w:t xml:space="preserve">fulcher2020functionsandregulation pages 19-19</w:t>
      </w:r>
      <w:r>
        <w:br/>
      </w:r>
    </w:p>
    <w:p>
      <w:pPr>
        <w:numPr>
          <w:ilvl w:val="0"/>
          <w:numId w:val="1001"/>
        </w:numPr>
      </w:pPr>
      <w:r>
        <w:t xml:space="preserve">baier2022ck2andprotein pages 10-13</w:t>
      </w:r>
      <w:r>
        <w:br/>
      </w:r>
    </w:p>
    <w:p>
      <w:pPr>
        <w:numPr>
          <w:ilvl w:val="0"/>
          <w:numId w:val="1001"/>
        </w:numPr>
      </w:pPr>
      <w:r>
        <w:t xml:space="preserve">janovska2020targetingcaseinkinase pages 18-19</w:t>
      </w:r>
      <w:r>
        <w:br/>
      </w:r>
    </w:p>
    <w:p>
      <w:pPr>
        <w:numPr>
          <w:ilvl w:val="0"/>
          <w:numId w:val="1001"/>
        </w:numPr>
      </w:pPr>
      <w:r>
        <w:t xml:space="preserve">lee2009versatilecaseinkinase pages 4-4</w:t>
      </w:r>
      <w:r>
        <w:br/>
      </w:r>
    </w:p>
    <w:p>
      <w:pPr>
        <w:numPr>
          <w:ilvl w:val="0"/>
          <w:numId w:val="1001"/>
        </w:numPr>
      </w:pPr>
      <w:r>
        <w:t xml:space="preserve">long2023targetingcaseinkinase pages 1-2</w:t>
      </w:r>
      <w:r>
        <w:br/>
      </w:r>
    </w:p>
    <w:p>
      <w:pPr>
        <w:numPr>
          <w:ilvl w:val="0"/>
          <w:numId w:val="1001"/>
        </w:numPr>
      </w:pPr>
      <w:r>
        <w:t xml:space="preserve">meng2019kinaseactivityof pages 12-12</w:t>
      </w:r>
      <w:r>
        <w:br/>
      </w:r>
    </w:p>
    <w:p>
      <w:pPr>
        <w:numPr>
          <w:ilvl w:val="0"/>
          <w:numId w:val="1001"/>
        </w:numPr>
      </w:pPr>
      <w:r>
        <w:t xml:space="preserve">xu2019structureregulationand pages 37-39</w:t>
      </w:r>
      <w:r>
        <w:br/>
      </w:r>
    </w:p>
    <w:p>
      <w:pPr>
        <w:numPr>
          <w:ilvl w:val="0"/>
          <w:numId w:val="1001"/>
        </w:numPr>
      </w:pPr>
      <w:r>
        <w:t xml:space="preserve">xu2019structureregulationand pages 39-40</w:t>
      </w:r>
      <w:r>
        <w:br/>
      </w:r>
    </w:p>
    <w:p>
      <w:pPr>
        <w:numPr>
          <w:ilvl w:val="0"/>
          <w:numId w:val="1001"/>
        </w:numPr>
      </w:pPr>
      <w:r>
        <w:t xml:space="preserve">xu2019structureregulationand pages 40-41</w:t>
      </w:r>
      <w:r>
        <w:br/>
      </w:r>
    </w:p>
    <w:p>
      <w:pPr>
        <w:numPr>
          <w:ilvl w:val="0"/>
          <w:numId w:val="1001"/>
        </w:numPr>
      </w:pPr>
      <w:r>
        <w:t xml:space="preserve">xu2019structureregulationand pages 41-43</w:t>
      </w:r>
      <w:r>
        <w:br/>
      </w:r>
    </w:p>
    <w:p>
      <w:pPr>
        <w:numPr>
          <w:ilvl w:val="0"/>
          <w:numId w:val="1001"/>
        </w:numPr>
      </w:pPr>
      <w:r>
        <w:t xml:space="preserve">xu2019structureregulationand pages 43-44</w:t>
      </w:r>
      <w:r>
        <w:br/>
      </w:r>
    </w:p>
    <w:p>
      <w:pPr>
        <w:numPr>
          <w:ilvl w:val="0"/>
          <w:numId w:val="1001"/>
        </w:numPr>
      </w:pPr>
      <w:r>
        <w:t xml:space="preserve">xu2019structureregulationand pages 47-48</w:t>
      </w:r>
      <w:r>
        <w:br/>
      </w:r>
    </w:p>
    <w:p>
      <w:pPr>
        <w:numPr>
          <w:ilvl w:val="0"/>
          <w:numId w:val="1001"/>
        </w:numPr>
      </w:pPr>
      <w:r>
        <w:t xml:space="preserve">xu2019structureregulationand pages 51-52</w:t>
      </w:r>
      <w:r>
        <w:br/>
      </w:r>
    </w:p>
    <w:p>
      <w:pPr>
        <w:numPr>
          <w:ilvl w:val="0"/>
          <w:numId w:val="1001"/>
        </w:numPr>
      </w:pPr>
      <w:r>
        <w:t xml:space="preserve">xu2019structureregulationand pages 52-53</w:t>
      </w:r>
      <w:r>
        <w:br/>
      </w:r>
    </w:p>
    <w:p>
      <w:pPr>
        <w:numPr>
          <w:ilvl w:val="0"/>
          <w:numId w:val="1001"/>
        </w:numPr>
      </w:pPr>
      <w:r>
        <w:t xml:space="preserve">yin2006dysbindinstructuralhomologue pages 10-10</w:t>
      </w:r>
      <w:r>
        <w:br/>
      </w:r>
    </w:p>
    <w:p>
      <w:pPr>
        <w:numPr>
          <w:ilvl w:val="0"/>
          <w:numId w:val="1001"/>
        </w:numPr>
      </w:pPr>
      <w:r>
        <w:t xml:space="preserve">kusuda2000cloningexpressionanalysis pages 4-5</w:t>
      </w:r>
      <w:r>
        <w:br/>
      </w:r>
    </w:p>
    <w:p>
      <w:pPr>
        <w:numPr>
          <w:ilvl w:val="0"/>
          <w:numId w:val="1001"/>
        </w:numPr>
      </w:pPr>
      <w:r>
        <w:t xml:space="preserve">saito2019structure–functionstudyof pages 12-12</w:t>
      </w:r>
      <w:r>
        <w:br/>
      </w:r>
    </w:p>
    <w:p>
      <w:pPr>
        <w:numPr>
          <w:ilvl w:val="0"/>
          <w:numId w:val="1001"/>
        </w:numPr>
      </w:pPr>
      <w:r>
        <w:t xml:space="preserve">xu2019structureregulationand pages 56-57</w:t>
      </w:r>
      <w:r>
        <w:br/>
      </w:r>
    </w:p>
    <w:p>
      <w:pPr>
        <w:numPr>
          <w:ilvl w:val="0"/>
          <w:numId w:val="1001"/>
        </w:numPr>
      </w:pPr>
      <w:r>
        <w:t xml:space="preserve">yin2006dysbindinstructuralhomologue pages 12-12</w:t>
      </w:r>
    </w:p>
    <w:p>
      <w:pPr>
        <w:pStyle w:val="FirstParagraph"/>
      </w:pPr>
      <w:r>
        <w:t xml:space="preserve">References</w:t>
      </w:r>
    </w:p>
    <w:p>
      <w:pPr>
        <w:numPr>
          <w:ilvl w:val="0"/>
          <w:numId w:val="1002"/>
        </w:numPr>
      </w:pPr>
      <w:r>
        <w:t xml:space="preserve">(fulcher2020functionsandregulation pages 13-14):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(jiang2018caseinkinase1α pages 1-3):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12-14):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15-17):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22-23):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(jiang2018caseinkinase1α pages 6-7): Shaojie Jiang, Miaofeng Zhang, Jihong Sun, and Xiaoming Yang. Casein kinase 1α: biological mechanisms and theranostic potential. Cell Communication and Signaling, May 2018. URL: https://doi.org/10.1186/s12964-018-0236-z, doi:10.1186/s12964-018-0236-z. This article has 119 citations and is from a peer-reviewed journal.</w:t>
      </w:r>
    </w:p>
    <w:p>
      <w:pPr>
        <w:numPr>
          <w:ilvl w:val="0"/>
          <w:numId w:val="1002"/>
        </w:numPr>
      </w:pPr>
      <w:r>
        <w:t xml:space="preserve">(knippschild2005theroleof pages 1-2): Uwe Knippschild, Sonja Wolff, Georgios Giamas, Claas Brockschmidt, Mathias Wittau, Peter Uwe Würl, Thorsten Eismann, and Martin Stöter. The role of the casein kinase 1 (ck1) family in different signaling pathways linked to cancer development. Oncology Research and Treatment, 28:508-514, Sep 2005. URL: https://doi.org/10.1159/000087137, doi:10.1159/000087137. This article has 167 citations and is from a peer-reviewed journal.</w:t>
      </w:r>
    </w:p>
    <w:p>
      <w:pPr>
        <w:numPr>
          <w:ilvl w:val="0"/>
          <w:numId w:val="1002"/>
        </w:numPr>
      </w:pPr>
      <w:r>
        <w:t xml:space="preserve">(mashhoon2000crystalstructureof pages 1-1): Neda Mashhoon, Anthony J. DeMaggio, Valentina Tereshko, Stephen C. Bergmeier, Martin Egli, Merl F. Hoekstra, and Jeff Kuret. Crystal structure of a conformation-selective casein kinase-1 inhibitor*. The Journal of Biological Chemistry, 275:20052-20060, Jun 2000. URL: https://doi.org/10.1074/jbc.m001713200, doi:10.1074/jbc.m001713200. This article has 188 citations.</w:t>
      </w:r>
    </w:p>
    <w:p>
      <w:pPr>
        <w:numPr>
          <w:ilvl w:val="0"/>
          <w:numId w:val="1002"/>
        </w:numPr>
      </w:pPr>
      <w:r>
        <w:t xml:space="preserve">(schittek2014biologicalfunctionsof pages 13-13): Birgit Schittek and Tobias Sinnberg. Biological functions of casein kinase 1 isoforms and putative roles in tumorigenesis. Molecular Cancer, Oct 2014. URL: https://doi.org/10.1186/1476-4598-13-231, doi:10.1186/1476-4598-13-231. This article has 291 citations and is from a highest quality peer-reviewed journal.</w:t>
      </w:r>
    </w:p>
    <w:p>
      <w:pPr>
        <w:numPr>
          <w:ilvl w:val="0"/>
          <w:numId w:val="1002"/>
        </w:numPr>
      </w:pPr>
      <w:r>
        <w:t xml:space="preserve">(baier2022ck2andprotein pages 10-13): Andrea Baier and Ryszard Szyszka. Ck2 and protein kinases of the ck1 superfamily as targets for neurodegenerative disorders. Frontiers in Molecular Biosciences, Oct 2022. URL: https://doi.org/10.3389/fmolb.2022.916063, doi:10.3389/fmolb.2022.916063. This article has 14 citations and is from a peer-reviewed journal.</w:t>
      </w:r>
    </w:p>
    <w:p>
      <w:pPr>
        <w:numPr>
          <w:ilvl w:val="0"/>
          <w:numId w:val="1002"/>
        </w:numPr>
      </w:pPr>
      <w:r>
        <w:t xml:space="preserve">(cozza2016caseinkinasesas pages 3-4): Giorgio Cozza and Lorenzo A Pinna. Casein kinases as potential therapeutic targets. Expert Opinion on Therapeutic Targets, 20:319-340, Mar 2016. URL: https://doi.org/10.1517/14728222.2016.1091883, doi:10.1517/14728222.2016.1091883. This article has 103 citations and is from a peer-reviewed journal.</w:t>
      </w:r>
    </w:p>
    <w:p>
      <w:pPr>
        <w:numPr>
          <w:ilvl w:val="0"/>
          <w:numId w:val="1002"/>
        </w:numPr>
      </w:pPr>
      <w:r>
        <w:t xml:space="preserve">(fulcher2020functionsandregulation pages 1-2):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10-11):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15-16):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18-19):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19-19):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(fulcher2020functionsandregulation pages 7-10): Luke J. Fulcher and Gopal P. Sapkota. Functions and regulation of the serine/threonine protein kinase ck1 family: moving beyond promiscuity. Biochemical Journal, 477:4603-4621, Dec 2020. URL: https://doi.org/10.1042/bcj20200506, doi:10.1042/bcj20200506. This article has 58 citations and is from a domain leading peer-reviewed journal.</w:t>
      </w:r>
    </w:p>
    <w:p>
      <w:pPr>
        <w:numPr>
          <w:ilvl w:val="0"/>
          <w:numId w:val="1002"/>
        </w:numPr>
      </w:pPr>
      <w:r>
        <w:t xml:space="preserve">(janovska2020targetingcaseinkinase pages 18-19): Pavlína Janovská, Emmanuel Normant, Hari Miskin, and Vítězslav Bryja. Targeting casein kinase 1 (ck1) in hematological cancers. International Journal of Molecular Sciences, 21:9026, Nov 2020. URL: https://doi.org/10.3390/ijms21239026, doi:10.3390/ijms21239026. This article has 65 citations and is from a peer-reviewed journal.</w:t>
      </w:r>
    </w:p>
    <w:p>
      <w:pPr>
        <w:numPr>
          <w:ilvl w:val="0"/>
          <w:numId w:val="1002"/>
        </w:numPr>
      </w:pPr>
      <w:r>
        <w:t xml:space="preserve">(kusuda2000cloningexpressionanalysis pages 1-2):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(lee2009versatilecaseinkinase pages 4-4): Jung-Youn Lee. Versatile casein kinase 1. Plant Signaling &amp; Behavior, 4:652-654, Jul 2009. URL: https://doi.org/10.4161/psb.4.7.8991, doi:10.4161/psb.4.7.8991. This article has 20 citations.</w:t>
      </w:r>
    </w:p>
    <w:p>
      <w:pPr>
        <w:numPr>
          <w:ilvl w:val="0"/>
          <w:numId w:val="1002"/>
        </w:numPr>
      </w:pPr>
      <w:r>
        <w:t xml:space="preserve">(long2023targetingcaseinkinase pages 1-2): Ngo Hoang Long and Sook-Jeong Lee. Targeting casein kinase 1 for cancer therapy: current strategies and future perspectives. Frontiers in Oncology, Nov 2023. URL: https://doi.org/10.3389/fonc.2023.1244775, doi:10.3389/fonc.2023.1244775. This article has 5 citations and is from a peer-reviewed journal.</w:t>
      </w:r>
    </w:p>
    <w:p>
      <w:pPr>
        <w:numPr>
          <w:ilvl w:val="0"/>
          <w:numId w:val="1002"/>
        </w:numPr>
      </w:pPr>
      <w:r>
        <w:t xml:space="preserve">(meng2019kinaseactivityof pages 12-12): Zhigang Meng, Thomas Böhm, Pengfei Xu, Doris Henne-Bruns, Christian Peifer, Lydia Witt, Uwe Knippschild, and Joachim Bischof. Kinase activity of casein kinase 1 delta (ck1δ) is modulated by protein kinase c α (pkcα) by site-specific phosphorylation within the kinase domain of ck1δ. Biochimica et Biophysica Acta (BBA) - Proteins and Proteomics, 1867:710-721, Jul 2019. URL: https://doi.org/10.1016/j.bbapap.2019.05.004, doi:10.1016/j.bbapap.2019.05.004. This article has 8 citations.</w:t>
      </w:r>
    </w:p>
    <w:p>
      <w:pPr>
        <w:numPr>
          <w:ilvl w:val="0"/>
          <w:numId w:val="1002"/>
        </w:numPr>
      </w:pPr>
      <w:r>
        <w:t xml:space="preserve">(xu2019structureregulationand pages 37-39):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39-40):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40-41):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41-43):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43-44):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47-48):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51-52):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(xu2019structureregulationand pages 52-53):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(yin2006dysbindinstructuralhomologue pages 10-10):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p>
      <w:pPr>
        <w:numPr>
          <w:ilvl w:val="0"/>
          <w:numId w:val="1002"/>
        </w:numPr>
      </w:pPr>
      <w:r>
        <w:t xml:space="preserve">(kusuda2000cloningexpressionanalysis pages 4-5): J. Kusuda, M. Hirai, R. Tanuma, and K. Hashimoto. Cloning, expression analysis and chromosome mapping of human casein kinase 1 γ1 (csnk1g1): identification of two types of cdna encoding the kinase protein associated with heterologous carboxy-terminal sequences. Cytogenetic and Genome Research, 90:298-302, Dec 2000. URL: https://doi.org/10.1159/000056792, doi:10.1159/000056792. This article has 20 citations and is from a peer-reviewed journal.</w:t>
      </w:r>
    </w:p>
    <w:p>
      <w:pPr>
        <w:numPr>
          <w:ilvl w:val="0"/>
          <w:numId w:val="1002"/>
        </w:numPr>
      </w:pPr>
      <w:r>
        <w:t xml:space="preserve">(saito2019structure–functionstudyof pages 12-12): Ami N. Saito, Hiromi Matsuo, Keiko Kuwata, Azusa Ono, Toshinori Kinoshita, Junichiro Yamaguchi, and Norihito Nakamichi. Structure–function study of a novel inhibitor of the casein kinase 1 family in</w:t>
      </w:r>
      <w:r>
        <w:t xml:space="preserve">arabidopsis thaliana</w:t>
      </w:r>
      <w:r>
        <w:t xml:space="preserve">. Plant Direct, Sep 2019. URL: https://doi.org/10.1002/pld3.172, doi:10.1002/pld3.172. This article has 20 citations and is from a peer-reviewed journal.</w:t>
      </w:r>
    </w:p>
    <w:p>
      <w:pPr>
        <w:numPr>
          <w:ilvl w:val="0"/>
          <w:numId w:val="1002"/>
        </w:numPr>
      </w:pPr>
      <w:r>
        <w:t xml:space="preserve">(xu2019structureregulationand pages 56-57): Pengfei Xu, Chiara Ianes, Fabian Gärtner, Congxing Liu, Timo Burster, Vasiliy Bakulev, Najma Rachidi, Uwe Knippschild, and Joachim Bischof. Structure, regulation, and (patho-)physiological functions of the stress-induced protein kinase ck1 delta (csnk1d). Gene, 715:144005, Oct 2019. URL: https://doi.org/10.1016/j.gene.2019.144005, doi:10.1016/j.gene.2019.144005. This article has 81 citations and is from a peer-reviewed journal.</w:t>
      </w:r>
    </w:p>
    <w:p>
      <w:pPr>
        <w:numPr>
          <w:ilvl w:val="0"/>
          <w:numId w:val="1002"/>
        </w:numPr>
      </w:pPr>
      <w:r>
        <w:t xml:space="preserve">(yin2006dysbindinstructuralhomologue pages 12-12): Haishan Yin, Kelly A. Laguna, Guibin Li, and Jeff Kuret. Dysbindin structural homologue ck1bp is an isoform-selective binding partner of human casein kinase-1. Biochemistry, 45:5297-5308, Mar 2006. URL: https://doi.org/10.1021/bi052354e, doi:10.1021/bi052354e. This article has 34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2025-06-18T18:52:19Z</dcterms:created>
  <dcterms:modified xsi:type="dcterms:W3CDTF">2025-06-18T18:52:19Z</dcterms:modified>
</cp:coreProperties>
</file>

<file path=docProps/custom.xml><?xml version="1.0" encoding="utf-8"?>
<Properties xmlns="http://schemas.openxmlformats.org/officeDocument/2006/custom-properties" xmlns:vt="http://schemas.openxmlformats.org/officeDocument/2006/docPropsVTypes"/>
</file>