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CSNK1A1L, also known as CK1α2, belongs to the casein kinase I (CK1) family of serine/threonine protein kinases that are evolutionarily conserved across eukaryotes. Members of this kinase family are found in organisms ranging from yeast to humans, and they form a core set of enzymes that regulate a variety of signaling pathways essential for cell growth, differentiation, and homeostasis (jiang2018caseinkinase1α pages 1-3, schittek2014biologicalfunctionsof pages 1-2). The CK1 family comprises several isoforms—such as CK1α (to which CSNK1A1L is closely related), CK1δ, CK1ε, and the CK1γ isoforms—that share a highly conserved catalytic domain yet exhibit variations in their regulatory regions and subcellular targeting. In the phylogenetic context, CSNK1A1L is grouped within the CK1α subgroup and exhibits high sequence homology with other CK1α isoforms; this homology is reflected by the conservation of motifs essential for ATP binding and catalysis (jiang2018caseinkinase1α pages 21-22, xu2019structureregulationand pages 1-3). Alternative splicing further refines the isoform diversity within the CK1α subgroup, leading to variants that differ in non-catalytic regions and, consequently, in their regulatory interactions and intracellular localization (jiang2018caseinkinase1α pages 23-24). The deep evolutionary roots of the CK1 family suggest that CSNK1A1L serves functions that are indispensable for cellular signaling, and its conservation supports its involvement in pathways such as Wnt/β-catenin and circadian rhythm regulation (schittek2014biologicalfunctionsof pages 1-2, xu2019structureregulationand pages 1-3).</w:t>
      </w:r>
    </w:p>
    <w:p>
      <w:pPr>
        <w:numPr>
          <w:ilvl w:val="0"/>
          <w:numId w:val="1001"/>
        </w:numPr>
      </w:pPr>
      <w:r>
        <w:t xml:space="preserve">Reaction Catalyzed</w:t>
      </w:r>
      <w:r>
        <w:br/>
      </w:r>
      <w:r>
        <w:t xml:space="preserve">CSNK1A1L catalyzes the transfer of the γ-phosphate from ATP to the hydroxyl group of serine or threonine residues present on target proteins. The canonical chemical reaction is: ATP + [protein]-(L-serine or L-threonine) → ADP + [protein]-phospho(L-serine/threonine) + H⁺ (anti2009nonspecificserinethreonineprotein pages 1-7). This phosphorylation event is the fundamental biochemical process through which CSNK1A1L modulates the function, stability, and interactions of its substrates, thereby integrating its activity into major cellular signaling cascades (anti2009nonspecificserinethreonineprotein pages 1-7).</w:t>
      </w:r>
    </w:p>
    <w:p>
      <w:pPr>
        <w:numPr>
          <w:ilvl w:val="0"/>
          <w:numId w:val="1001"/>
        </w:numPr>
      </w:pPr>
      <w:r>
        <w:t xml:space="preserve">Cofactor Requirements</w:t>
      </w:r>
      <w:r>
        <w:br/>
      </w:r>
      <w:r>
        <w:t xml:space="preserve">The enzymatic activity of CSNK1A1L is strictly dependent on the presence of divalent metal ion cofactors, with Mg²⁺ being essential for its catalytic efficiency. Mg²⁺ interacts with both ATP and specific residues in the active site of the kinase, facilitating proper orientation and subsequent transfer of the phosphate moiety (anti2009nonspecificserinethreonineprotein pages 29-32, jiang2018caseinkinase1α pages 21-22). In biochemical assays, the absence of Mg²⁺ leads to a significant reduction in kinase activity, underscoring its indispensable role in the catalytic mechanism.</w:t>
      </w:r>
    </w:p>
    <w:p>
      <w:pPr>
        <w:numPr>
          <w:ilvl w:val="0"/>
          <w:numId w:val="1001"/>
        </w:numPr>
      </w:pPr>
      <w:r>
        <w:t xml:space="preserve">Substrate Specificity</w:t>
      </w:r>
      <w:r>
        <w:br/>
      </w:r>
      <w:r>
        <w:t xml:space="preserve">CSNK1A1L shows a strong preference for substrates that are acidic in nature, a characteristic feature of casein kinases. The enzyme preferentially phosphorylates serine/threonine residues that are embedded in sequence motifs characterized by adjacent acidic or pre-phosphorylated residues. One commonly observed consensus motif is of the form pS/T-X_n-pS/T, where n typically ranges between 2 and 4, indicating that a priming phosphorylation event is often necessary for efficient substrate recognition (jiang2018caseinkinase1α pages 12-14, anti2009nonspecificserinethreonineprotein pages 25-27). This substrate specificity allows CSNK1A1L to target members of key signaling pathways, most notably the Wnt/β-catenin cascade, where phosphorylation of β-catenin at specific serine sites is critical for its regulated proteasomal degradation (schittek2014biologicalfunctionsof pages 2-4). The enzyme’s dependence on primed substrates also serves as a mechanism to integrate multiple signaling inputs, ensuring that phosphorylation and consequent activation or inactivation of target proteins occur in a coordinated manner.</w:t>
      </w:r>
    </w:p>
    <w:p>
      <w:pPr>
        <w:numPr>
          <w:ilvl w:val="0"/>
          <w:numId w:val="1001"/>
        </w:numPr>
      </w:pPr>
      <w:r>
        <w:t xml:space="preserve">Structure</w:t>
      </w:r>
      <w:r>
        <w:br/>
      </w:r>
      <w:r>
        <w:t xml:space="preserve">CSNK1A1L exhibits a domain organization that is highly characteristic of the CK1 family. The protein primarily consists of a central catalytic domain that spans a major portion of the protein’s sequence, with the predominant isoform of CK1α having a kinase domain that extends from approximately residue 12 to residue 282 (jiang2018caseinkinase1α pages 1-3). This catalytic domain is organized into two conserved lobes: an N-terminal lobe predominantly composed of β-sheets and a larger C-terminal lobe rich in α-helices. The cleft between these lobes constitutes the active site, where ATP binds and the phosphoryl transfer reaction takes place (xu2019structureregulationand pages 44-45, cullati2022kinasedomainautophosphorylation pages 11-13). Key structural features include a Glycine-rich loop that stabilizes ATP binding, a catalytic loop containing conserved residues essential for phosphotransfer, and an activation loop that may undergo regulatory autophosphorylation. In addition, CSNK1A1L contains a short N-terminal β-hairpin loop implicated in substrate recognition and interactions with other proteins (jiang2018caseinkinase1α pages 1-3). The C-terminal region, although less conserved at the sequence level, plays an important role in modulating kinase activity via autophosphorylation and serving as a docking site for regulatory proteins. Conformational flexibility in these regions is critical for the enzyme’s ability to accommodate a wide range of substrates and to integrate signals from different regulatory inputs (xu2019structureregulationand pages 4-6, jiang2018caseinkinase1α pages 15-17). Furthermore, structural models derived from crystallographic studies and AlphaFold predictions reveal a highly conserved hydrophobic spine and a C-helix that are vital for maintaining structural integrity and proper alignment of active site residues (xu2019structureregulationand pages 44-45). These conserved features underscore the evolutionary pressure to maintain the catalytic proficiency and regulatory versatility that are hallmarks of CK1 enzymes (jiang2018caseinkinase1α pages 23-24).</w:t>
      </w:r>
    </w:p>
    <w:p>
      <w:pPr>
        <w:numPr>
          <w:ilvl w:val="0"/>
          <w:numId w:val="1001"/>
        </w:numPr>
      </w:pPr>
      <w:r>
        <w:t xml:space="preserve">Regulation</w:t>
      </w:r>
      <w:r>
        <w:br/>
      </w:r>
      <w:r>
        <w:t xml:space="preserve">The regulation of CSNK1A1L involves a complex interplay of post-translational modifications, protein-protein interactions, and subcellular localization signals. One major regulatory mechanism is autophosphorylation, a process by which the kinase phosphorylates discrete residues within its catalytic domain and C-terminal tail. Experimental evidence from related CK1 isoforms indicates that autophosphorylation at conserved threonine sites—such as the evolutionarily conserved T220 in human CK1δ—plays a crucial role in modulating substrate binding and altering substrate specificity; analogous mechanisms are presumed to operate in CSNK1A1L (cullati2022kinasedomainautophosphorylation pages 11-13, jiang2018caseinkinase1α pages 15-17). In addition to autophosphorylation, CSNK1A1L is subject to regulation through ubiquitination. Interaction with the CRL4^CRBN E3 ubiquitin ligase complex marks the kinase for ubiquitin-mediated proteasomal degradation, a process that can be pharmacologically induced by drugs such as lenalidomide (jiang2018caseinkinase1α pages 1-3, jiang2018caseinkinase1α pages 23-24). Regulatory control is further refined by modulatory proteins such as SON and FAM83H, which serve as scaffolds to direct CSNK1A1L to specific subcellular compartments and facilitate interactions with its substrates (jiang2018caseinkinase1α pages 15-17). Moreover, post-transcriptional regulation occurs via microRNAs, including miR-155 and miR-9-5p, which bind to the 3′ untranslated region of the CSNK1A1L mRNA to modulate protein expression (jiang2018caseinkinase1α pages 14-15). These converging regulatory inputs ensure that CSNK1A1L activity is tightly controlled in response to cellular cues, thereby maintaining proper signal transduction and proteostasis.</w:t>
      </w:r>
    </w:p>
    <w:p>
      <w:pPr>
        <w:numPr>
          <w:ilvl w:val="0"/>
          <w:numId w:val="1001"/>
        </w:numPr>
      </w:pPr>
      <w:r>
        <w:t xml:space="preserve">Function</w:t>
      </w:r>
      <w:r>
        <w:br/>
      </w:r>
      <w:r>
        <w:t xml:space="preserve">CSNK1A1L fulfills a central role in the regulation of diverse cellular processes by mediating the phosphorylation of a broad spectrum of proteins. Its catalytic activity is crucial in the modulation of the Wnt/β-catenin signaling pathway. In this pathway, CSNK1A1L phosphorylates β-catenin at specific serine residues, including at Ser45, a modification that primes β-catenin for further phosphorylation by other kinases, subsequent ubiquitination, and proteasomal degradation. This sequence of events is critical for maintaining appropriate levels of β-catenin, thereby preventing aberrant cell proliferation and oncogenesis (jiang2018caseinkinase1α pages 12-14, schittek2014biologicalfunctionsof pages 2-4). In addition to its role in Wnt signaling, CSNK1A1L is implicated in the regulation of the cell cycle, apoptosis, and DNA repair mechanisms. For instance, by phosphorylating substrates that regulate the p53 pathway—as well as modulating interactions with MDM2 and MDMX—CSNK1A1L contributes to the maintenance of genomic stability and controls cell fate decisions (jiang2018caseinkinase1α pages 14-15, jiang2018caseinkinase1α pages 22-23). Its substrate spectrum also extends to proteins involved in neurodegenerative processes. CSNK1A1L phosphorylates tau protein and α-synuclein, modifications that have been linked to the formation of neurofibrillary tangles in Alzheimer’s disease and Lewy bodies in Parkinson’s disease, respectively (jiang2018caseinkinase1α pages 9-12, schittek2014biologicalfunctionsof pages 12-13). Expression analyses indicate that CSNK1A1L is ubiquitously expressed; however, tissue-specific expression patterns have been noted—with higher expression reported in the esophagus, skin, adrenal gland, bronchus, testis, placenta, and endometrium, and lower expression observed in tissues like the pancreas and liver (jiang2018caseinkinase1α pages 1-3). The multifunctional nature of CSNK1A1L enables it to serve as a nodal point for the integration of various signaling pathways, thereby influencing processes as diverse as embryonic development, stem cell maintenance, immune responses, and metabolic control.</w:t>
      </w:r>
    </w:p>
    <w:p>
      <w:pPr>
        <w:numPr>
          <w:ilvl w:val="0"/>
          <w:numId w:val="1001"/>
        </w:numPr>
      </w:pPr>
      <w:r>
        <w:t xml:space="preserve">Other Comments</w:t>
      </w:r>
      <w:r>
        <w:br/>
      </w:r>
      <w:r>
        <w:t xml:space="preserve">Several small-molecule inhibitors have been developed to target CK1 family members, some of which affect CSNK1A1L activity either directly or indirectly. In experimental settings, compounds such as D4476, IC261, TG003, and epiblastin A have been used to interrogate the functional roles of CK1 isoforms and to modulate signaling outcomes in cellular models (jiang2018caseinkinase1α pages 15-17, schittek2014biologicalfunctionsof pages 2-4). In addition, pharmacological modulation of CSNK1A1L has therapeutic implications, particularly in oncology, where dysregulation of the Wnt/β-catenin pathway and aberrant phosphorylation events have been linked to cancers such as colorectal cancer, multiple myeloma, and plasma cell leukemia (jiang2018caseinkinase1α pages 14-15, jiang2018caseinkinase1α pages 22-23). CSNK1A1L is also associated with neurodegenerative disorders; its role in phosphorylating tau and α-synuclein suggests that abnormal kinase activity may contribute to the pathogenesis of Alzheimer’s and Parkinson’s diseases (jiang2018caseinkinase1α pages 12-14, schittek2014biologicalfunctionsof pages 12-13). Moreover, regulation by microRNAs and ubiquitin-mediated degradation mechanisms (notably via CRL4^CRBN and subsequent degradation upon lenalidomide treatment) provides additional therapeutic entry points, as these pathways are actively being exploited in the treatment of myelodysplastic syndromes with del(5q) (jiang2018caseinkinase1α pages 1-3, jiang2018caseinkinase1α pages 23-24). Finally, structural investigations, including those that elucidate autophosphorylation-dependent conformational changes within the catalytic domain, contribute to the rational design of selective inhibitors with the potential to fine-tune CSNK1A1L activity in a disease-specific context (cullati2022kinasedomainautophosphorylation pages 11-13, xu2019structureregulationand pages 45-47).</w:t>
      </w:r>
    </w:p>
    <w:p>
      <w:pPr>
        <w:numPr>
          <w:ilvl w:val="0"/>
          <w:numId w:val="1001"/>
        </w:numPr>
      </w:pPr>
      <w:r>
        <w:t xml:space="preserve">References</w:t>
      </w:r>
      <w:r>
        <w:br/>
      </w:r>
    </w:p>
    <w:p>
      <w:pPr>
        <w:numPr>
          <w:ilvl w:val="0"/>
          <w:numId w:val="1001"/>
        </w:numPr>
      </w:pPr>
      <w:r>
        <w:t xml:space="preserve">jiang2018caseinkinase1α pages 1-3</w:t>
      </w:r>
      <w:r>
        <w:br/>
      </w:r>
    </w:p>
    <w:p>
      <w:pPr>
        <w:numPr>
          <w:ilvl w:val="0"/>
          <w:numId w:val="1001"/>
        </w:numPr>
      </w:pPr>
      <w:r>
        <w:t xml:space="preserve">jiang2018caseinkinase1α pages 12-14</w:t>
      </w:r>
      <w:r>
        <w:br/>
      </w:r>
    </w:p>
    <w:p>
      <w:pPr>
        <w:numPr>
          <w:ilvl w:val="0"/>
          <w:numId w:val="1001"/>
        </w:numPr>
      </w:pPr>
      <w:r>
        <w:t xml:space="preserve">jiang2018caseinkinase1α pages 14-15</w:t>
      </w:r>
      <w:r>
        <w:br/>
      </w:r>
    </w:p>
    <w:p>
      <w:pPr>
        <w:numPr>
          <w:ilvl w:val="0"/>
          <w:numId w:val="1001"/>
        </w:numPr>
      </w:pPr>
      <w:r>
        <w:t xml:space="preserve">jiang2018caseinkinase1α pages 15-17</w:t>
      </w:r>
      <w:r>
        <w:br/>
      </w:r>
    </w:p>
    <w:p>
      <w:pPr>
        <w:numPr>
          <w:ilvl w:val="0"/>
          <w:numId w:val="1001"/>
        </w:numPr>
      </w:pPr>
      <w:r>
        <w:t xml:space="preserve">jiang2018caseinkinase1α pages 21-22</w:t>
      </w:r>
      <w:r>
        <w:br/>
      </w:r>
    </w:p>
    <w:p>
      <w:pPr>
        <w:numPr>
          <w:ilvl w:val="0"/>
          <w:numId w:val="1001"/>
        </w:numPr>
      </w:pPr>
      <w:r>
        <w:t xml:space="preserve">jiang2018caseinkinase1α pages 23-24</w:t>
      </w:r>
      <w:r>
        <w:br/>
      </w:r>
    </w:p>
    <w:p>
      <w:pPr>
        <w:numPr>
          <w:ilvl w:val="0"/>
          <w:numId w:val="1001"/>
        </w:numPr>
      </w:pPr>
      <w:r>
        <w:t xml:space="preserve">jiang2018caseinkinase1α pages 9-12</w:t>
      </w:r>
      <w:r>
        <w:br/>
      </w:r>
    </w:p>
    <w:p>
      <w:pPr>
        <w:numPr>
          <w:ilvl w:val="0"/>
          <w:numId w:val="1001"/>
        </w:numPr>
      </w:pPr>
      <w:r>
        <w:t xml:space="preserve">schittek2014biologicalfunctionsof pages 1-2</w:t>
      </w:r>
      <w:r>
        <w:br/>
      </w:r>
    </w:p>
    <w:p>
      <w:pPr>
        <w:numPr>
          <w:ilvl w:val="0"/>
          <w:numId w:val="1001"/>
        </w:numPr>
      </w:pPr>
      <w:r>
        <w:t xml:space="preserve">schittek2014biologicalfunctionsof pages 2-4</w:t>
      </w:r>
      <w:r>
        <w:br/>
      </w:r>
    </w:p>
    <w:p>
      <w:pPr>
        <w:numPr>
          <w:ilvl w:val="0"/>
          <w:numId w:val="1001"/>
        </w:numPr>
      </w:pPr>
      <w:r>
        <w:t xml:space="preserve">schittek2014biologicalfunctionsof pages 12-13</w:t>
      </w:r>
      <w:r>
        <w:br/>
      </w:r>
    </w:p>
    <w:p>
      <w:pPr>
        <w:numPr>
          <w:ilvl w:val="0"/>
          <w:numId w:val="1001"/>
        </w:numPr>
      </w:pPr>
      <w:r>
        <w:t xml:space="preserve">anti2009nonspecificserinethreonineprotein pages 1-7</w:t>
      </w:r>
      <w:r>
        <w:br/>
      </w:r>
    </w:p>
    <w:p>
      <w:pPr>
        <w:numPr>
          <w:ilvl w:val="0"/>
          <w:numId w:val="1001"/>
        </w:numPr>
      </w:pPr>
      <w:r>
        <w:t xml:space="preserve">anti2009nonspecificserinethreonineprotein pages 25-27</w:t>
      </w:r>
      <w:r>
        <w:br/>
      </w:r>
    </w:p>
    <w:p>
      <w:pPr>
        <w:numPr>
          <w:ilvl w:val="0"/>
          <w:numId w:val="1001"/>
        </w:numPr>
      </w:pPr>
      <w:r>
        <w:t xml:space="preserve">anti2009nonspecificserinethreonineprotein pages 29-32</w:t>
      </w:r>
      <w:r>
        <w:br/>
      </w:r>
    </w:p>
    <w:p>
      <w:pPr>
        <w:numPr>
          <w:ilvl w:val="0"/>
          <w:numId w:val="1001"/>
        </w:numPr>
      </w:pPr>
      <w:r>
        <w:t xml:space="preserve">anti2009nonspecificserinethreonineprotein pages 45-47</w:t>
      </w:r>
      <w:r>
        <w:br/>
      </w:r>
    </w:p>
    <w:p>
      <w:pPr>
        <w:numPr>
          <w:ilvl w:val="0"/>
          <w:numId w:val="1001"/>
        </w:numPr>
      </w:pPr>
      <w:r>
        <w:t xml:space="preserve">cullati2022kinasedomainautophosphorylation pages 11-13</w:t>
      </w:r>
      <w:r>
        <w:br/>
      </w:r>
    </w:p>
    <w:p>
      <w:pPr>
        <w:numPr>
          <w:ilvl w:val="0"/>
          <w:numId w:val="1001"/>
        </w:numPr>
      </w:pPr>
      <w:r>
        <w:t xml:space="preserve">xu2019structureregulationand pages 1-3</w:t>
      </w:r>
      <w:r>
        <w:br/>
      </w:r>
    </w:p>
    <w:p>
      <w:pPr>
        <w:numPr>
          <w:ilvl w:val="0"/>
          <w:numId w:val="1001"/>
        </w:numPr>
      </w:pPr>
      <w:r>
        <w:t xml:space="preserve">xu2019structureregulationand pages 3-4</w:t>
      </w:r>
      <w:r>
        <w:br/>
      </w:r>
    </w:p>
    <w:p>
      <w:pPr>
        <w:numPr>
          <w:ilvl w:val="0"/>
          <w:numId w:val="1001"/>
        </w:numPr>
      </w:pPr>
      <w:r>
        <w:t xml:space="preserve">xu2019structureregulationand pages 4-6</w:t>
      </w:r>
      <w:r>
        <w:br/>
      </w:r>
    </w:p>
    <w:p>
      <w:pPr>
        <w:numPr>
          <w:ilvl w:val="0"/>
          <w:numId w:val="1001"/>
        </w:numPr>
      </w:pPr>
      <w:r>
        <w:t xml:space="preserve">xu2019structureregulationand pages 44-45</w:t>
      </w:r>
      <w:r>
        <w:br/>
      </w:r>
    </w:p>
    <w:p>
      <w:pPr>
        <w:numPr>
          <w:ilvl w:val="0"/>
          <w:numId w:val="1001"/>
        </w:numPr>
      </w:pPr>
      <w:r>
        <w:t xml:space="preserve">xu2019structureregulationand pages 45-47</w:t>
      </w:r>
      <w:r>
        <w:br/>
      </w:r>
    </w:p>
    <w:p>
      <w:pPr>
        <w:numPr>
          <w:ilvl w:val="0"/>
          <w:numId w:val="1001"/>
        </w:numPr>
      </w:pPr>
      <w:r>
        <w:t xml:space="preserve">xu2019structureregulationand pages 49-51</w:t>
      </w:r>
      <w:r>
        <w:br/>
      </w:r>
    </w:p>
    <w:p>
      <w:pPr>
        <w:numPr>
          <w:ilvl w:val="0"/>
          <w:numId w:val="1001"/>
        </w:numPr>
      </w:pPr>
      <w:r>
        <w:t xml:space="preserve">xu2019structureregulationand pages 11-12</w:t>
      </w:r>
      <w:r>
        <w:br/>
      </w:r>
    </w:p>
    <w:p>
      <w:pPr>
        <w:numPr>
          <w:ilvl w:val="0"/>
          <w:numId w:val="1001"/>
        </w:numPr>
      </w:pPr>
      <w:r>
        <w:t xml:space="preserve">xu2019structureregulationand pages 21-22</w:t>
      </w:r>
      <w:r>
        <w:br/>
      </w:r>
    </w:p>
    <w:p>
      <w:pPr>
        <w:numPr>
          <w:ilvl w:val="0"/>
          <w:numId w:val="1001"/>
        </w:numPr>
      </w:pPr>
      <w:r>
        <w:t xml:space="preserve">xu2019structureregulationand pages 24-25</w:t>
      </w:r>
      <w:r>
        <w:br/>
      </w:r>
    </w:p>
    <w:p>
      <w:pPr>
        <w:numPr>
          <w:ilvl w:val="0"/>
          <w:numId w:val="1001"/>
        </w:numPr>
      </w:pPr>
      <w:r>
        <w:t xml:space="preserve">xu2019structureregulationand pages 40-41</w:t>
      </w:r>
    </w:p>
    <w:p>
      <w:pPr>
        <w:pStyle w:val="FirstParagraph"/>
      </w:pPr>
      <w:r>
        <w:t xml:space="preserve">Each reference above has contributed to the comprehensive nomenclature and functional profile of CSNK1A1L, providing insight into its evolutionary conservation, catalytic mechanism, structural organization, regulatory controls, biological functions, and potential for therapeutic intervention.</w:t>
      </w:r>
    </w:p>
    <w:p>
      <w:pPr>
        <w:pStyle w:val="BodyText"/>
      </w:pPr>
      <w:r>
        <w:t xml:space="preserve">References</w:t>
      </w:r>
    </w:p>
    <w:p>
      <w:pPr>
        <w:numPr>
          <w:ilvl w:val="0"/>
          <w:numId w:val="1002"/>
        </w:numPr>
      </w:pPr>
      <w:r>
        <w:t xml:space="preserve">(jiang2018caseinkinase1α pages 12-14): Shaojie Jiang, Miaofeng Zhang, Jihong Sun, and Xiaoming Yang. Casein kinase 1α: biological mechanisms and theranostic potential. Cell Communication and Signaling, May 2018. URL: https://doi.org/10.1186/s12964-018-0236-z, doi:10.1186/s12964-018-0236-z. This article has 119 citations and is from a peer-reviewed journal.</w:t>
      </w:r>
    </w:p>
    <w:p>
      <w:pPr>
        <w:numPr>
          <w:ilvl w:val="0"/>
          <w:numId w:val="1002"/>
        </w:numPr>
      </w:pPr>
      <w:r>
        <w:t xml:space="preserve">(jiang2018caseinkinase1α pages 15-17): Shaojie Jiang, Miaofeng Zhang, Jihong Sun, and Xiaoming Yang. Casein kinase 1α: biological mechanisms and theranostic potential. Cell Communication and Signaling, May 2018. URL: https://doi.org/10.1186/s12964-018-0236-z, doi:10.1186/s12964-018-0236-z. This article has 119 citations and is from a peer-reviewed journal.</w:t>
      </w:r>
    </w:p>
    <w:p>
      <w:pPr>
        <w:numPr>
          <w:ilvl w:val="0"/>
          <w:numId w:val="1002"/>
        </w:numPr>
      </w:pPr>
      <w:r>
        <w:t xml:space="preserve">(schittek2014biologicalfunctionsof pages 1-2): Birgit Schittek and Tobias Sinnberg. Biological functions of casein kinase 1 isoforms and putative roles in tumorigenesis. Molecular Cancer, Oct 2014. URL: https://doi.org/10.1186/1476-4598-13-231, doi:10.1186/1476-4598-13-231. This article has 291 citations and is from a highest quality peer-reviewed journal.</w:t>
      </w:r>
    </w:p>
    <w:p>
      <w:pPr>
        <w:numPr>
          <w:ilvl w:val="0"/>
          <w:numId w:val="1002"/>
        </w:numPr>
      </w:pPr>
      <w:r>
        <w:t xml:space="preserve">(schittek2014biologicalfunctionsof pages 2-4): Birgit Schittek and Tobias Sinnberg. Biological functions of casein kinase 1 isoforms and putative roles in tumorigenesis. Molecular Cancer, Oct 2014. URL: https://doi.org/10.1186/1476-4598-13-231, doi:10.1186/1476-4598-13-231. This article has 291 citations and is from a highest quality peer-reviewed journal.</w:t>
      </w:r>
    </w:p>
    <w:p>
      <w:pPr>
        <w:numPr>
          <w:ilvl w:val="0"/>
          <w:numId w:val="1002"/>
        </w:numPr>
      </w:pPr>
      <w:r>
        <w:t xml:space="preserve">(anti2009nonspecificserinethreonineprotein pages 1-7):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25-27):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29-32): B Anti. Non-specific serine/threonine protein kinase. Class 2 Transferases, pages 1-123, Jan 2009. URL: https://doi.org/10.1007/978-3-540-85699-3_1, doi:10.1007/978-3-540-85699-3_1. This article has 0 citations.</w:t>
      </w:r>
    </w:p>
    <w:p>
      <w:pPr>
        <w:numPr>
          <w:ilvl w:val="0"/>
          <w:numId w:val="1002"/>
        </w:numPr>
      </w:pPr>
      <w:r>
        <w:t xml:space="preserve">(anti2009nonspecificserinethreonineprotein pages 45-47): B Anti. Non-specific serine/threonine protein kinase. Class 2 Transferases, pages 1-123, Jan 2009. URL: https://doi.org/10.1007/978-3-540-85699-3_1, doi:10.1007/978-3-540-85699-3_1. This article has 0 citations.</w:t>
      </w:r>
    </w:p>
    <w:p>
      <w:pPr>
        <w:numPr>
          <w:ilvl w:val="0"/>
          <w:numId w:val="1002"/>
        </w:numPr>
      </w:pPr>
      <w:r>
        <w:t xml:space="preserve">(cullati2022kinasedomainautophosphorylation pages 11-13): Sierra Cullati, Apirat Chaikuad, Jun‐Song Chen, Jakob Gebel, Laura Tesmer, Rezart Zhubi, Jose Navarrete‐Perea, Rodrigo X. Guillen, Steven P. Gygi, Gerhard Hummer, Volker Dotsch, Stefan Knapp, and Kathleen L. Gould. Kinase domain autophosphorylation rewires the activity and substrate specificity of ck1 enzymes. The FASEB Journal, May 2022. URL: https://doi.org/10.1096/fasebj.2022.36.s1.0r463, doi:10.1096/fasebj.2022.36.s1.0r463. This article has 31 citations.</w:t>
      </w:r>
    </w:p>
    <w:p>
      <w:pPr>
        <w:numPr>
          <w:ilvl w:val="0"/>
          <w:numId w:val="1002"/>
        </w:numPr>
      </w:pPr>
      <w:r>
        <w:t xml:space="preserve">(jiang2018caseinkinase1α pages 1-3): Shaojie Jiang, Miaofeng Zhang, Jihong Sun, and Xiaoming Yang. Casein kinase 1α: biological mechanisms and theranostic potential. Cell Communication and Signaling, May 2018. URL: https://doi.org/10.1186/s12964-018-0236-z, doi:10.1186/s12964-018-0236-z. This article has 119 citations and is from a peer-reviewed journal.</w:t>
      </w:r>
    </w:p>
    <w:p>
      <w:pPr>
        <w:numPr>
          <w:ilvl w:val="0"/>
          <w:numId w:val="1002"/>
        </w:numPr>
      </w:pPr>
      <w:r>
        <w:t xml:space="preserve">(jiang2018caseinkinase1α pages 14-15): Shaojie Jiang, Miaofeng Zhang, Jihong Sun, and Xiaoming Yang. Casein kinase 1α: biological mechanisms and theranostic potential. Cell Communication and Signaling, May 2018. URL: https://doi.org/10.1186/s12964-018-0236-z, doi:10.1186/s12964-018-0236-z. This article has 119 citations and is from a peer-reviewed journal.</w:t>
      </w:r>
    </w:p>
    <w:p>
      <w:pPr>
        <w:numPr>
          <w:ilvl w:val="0"/>
          <w:numId w:val="1002"/>
        </w:numPr>
      </w:pPr>
      <w:r>
        <w:t xml:space="preserve">(jiang2018caseinkinase1α pages 21-22): Shaojie Jiang, Miaofeng Zhang, Jihong Sun, and Xiaoming Yang. Casein kinase 1α: biological mechanisms and theranostic potential. Cell Communication and Signaling, May 2018. URL: https://doi.org/10.1186/s12964-018-0236-z, doi:10.1186/s12964-018-0236-z. This article has 119 citations and is from a peer-reviewed journal.</w:t>
      </w:r>
    </w:p>
    <w:p>
      <w:pPr>
        <w:numPr>
          <w:ilvl w:val="0"/>
          <w:numId w:val="1002"/>
        </w:numPr>
      </w:pPr>
      <w:r>
        <w:t xml:space="preserve">(jiang2018caseinkinase1α pages 22-23): Shaojie Jiang, Miaofeng Zhang, Jihong Sun, and Xiaoming Yang. Casein kinase 1α: biological mechanisms and theranostic potential. Cell Communication and Signaling, May 2018. URL: https://doi.org/10.1186/s12964-018-0236-z, doi:10.1186/s12964-018-0236-z. This article has 119 citations and is from a peer-reviewed journal.</w:t>
      </w:r>
    </w:p>
    <w:p>
      <w:pPr>
        <w:numPr>
          <w:ilvl w:val="0"/>
          <w:numId w:val="1002"/>
        </w:numPr>
      </w:pPr>
      <w:r>
        <w:t xml:space="preserve">(jiang2018caseinkinase1α pages 23-24): Shaojie Jiang, Miaofeng Zhang, Jihong Sun, and Xiaoming Yang. Casein kinase 1α: biological mechanisms and theranostic potential. Cell Communication and Signaling, May 2018. URL: https://doi.org/10.1186/s12964-018-0236-z, doi:10.1186/s12964-018-0236-z. This article has 119 citations and is from a peer-reviewed journal.</w:t>
      </w:r>
    </w:p>
    <w:p>
      <w:pPr>
        <w:numPr>
          <w:ilvl w:val="0"/>
          <w:numId w:val="1002"/>
        </w:numPr>
      </w:pPr>
      <w:r>
        <w:t xml:space="preserve">(jiang2018caseinkinase1α pages 9-12): Shaojie Jiang, Miaofeng Zhang, Jihong Sun, and Xiaoming Yang. Casein kinase 1α: biological mechanisms and theranostic potential. Cell Communication and Signaling, May 2018. URL: https://doi.org/10.1186/s12964-018-0236-z, doi:10.1186/s12964-018-0236-z. This article has 119 citations and is from a peer-reviewed journal.</w:t>
      </w:r>
    </w:p>
    <w:p>
      <w:pPr>
        <w:numPr>
          <w:ilvl w:val="0"/>
          <w:numId w:val="1002"/>
        </w:numPr>
      </w:pPr>
      <w:r>
        <w:t xml:space="preserve">(xu2019structureregulationand pages 44-45):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(schittek2014biologicalfunctionsof pages 12-13): Birgit Schittek and Tobias Sinnberg. Biological functions of casein kinase 1 isoforms and putative roles in tumorigenesis. Molecular Cancer, Oct 2014. URL: https://doi.org/10.1186/1476-4598-13-231, doi:10.1186/1476-4598-13-231. This article has 291 citations and is from a highest quality peer-reviewed journal.</w:t>
      </w:r>
    </w:p>
    <w:p>
      <w:pPr>
        <w:numPr>
          <w:ilvl w:val="0"/>
          <w:numId w:val="1002"/>
        </w:numPr>
      </w:pPr>
      <w:r>
        <w:t xml:space="preserve">(xu2019structureregulationand pages 11-12):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24-25):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4-6):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40-41):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45-47):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49-51):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1-3):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21-22):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3-4):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2025-06-18T18:52:19Z</dcterms:created>
  <dcterms:modified xsi:type="dcterms:W3CDTF">2025-06-18T18:52:19Z</dcterms:modified>
</cp:coreProperties>
</file>

<file path=docProps/custom.xml><?xml version="1.0" encoding="utf-8"?>
<Properties xmlns="http://schemas.openxmlformats.org/officeDocument/2006/custom-properties" xmlns:vt="http://schemas.openxmlformats.org/officeDocument/2006/docPropsVTypes"/>
</file>