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GCN2 (EIF2AK4) is an evolutionarily conserved member of the eIF2α kinase family that is readily identifiable in organisms ranging from Saccharomyces cerevisiae and Arabidopsis thaliana to mammals. Orthologs of GCN2 have been found in all major eukaryotic lineages, and phylogenetic analyses consistently place GCN2 as an ancestral kinase relative to its eIF2α‐kinase counterparts such as HRI, PERK, and PKR (cavener2000amammalianhomologue pages 14-15, rothenburg2016eif2α pages 4-7). Its distribution across species illustrates its fundamental role as a metabolic stress sensor. In many species, including plants and yeast, GCN2 is the sole eIF2α kinase, while in metazoans additional kinases have evolved to respond to alternative cellular stresses. The conservation of key domains—such as the RWD, kinase, HisRS‐like, and C-terminal dimerization domains—reinforces the idea that GCN2 arose early in eukaryotic evolution and has been maintained as a critical regulator of translational control (lokdarshi2022reviewemergingroles pages 13-14, li2009studyofgcn2 pages 21-27, masson2019towardsamodel pages 1-2).</w:t>
      </w:r>
    </w:p>
    <w:p>
      <w:pPr>
        <w:numPr>
          <w:ilvl w:val="0"/>
          <w:numId w:val="1001"/>
        </w:numPr>
      </w:pPr>
      <w:r>
        <w:t xml:space="preserve">Reaction Catalyzed</w:t>
      </w:r>
      <w:r>
        <w:br/>
      </w:r>
      <w:r>
        <w:t xml:space="preserve">GCN2 catalyzes the phosphorylation reaction that transfers the γ-phosphate from ATP to the serine residue (Ser51) on the α subunit of eukaryotic initiation factor 2 (eIF2α). In chemical terms, the reaction is represented as:</w:t>
      </w:r>
      <w:r>
        <w:br/>
      </w:r>
      <w:r>
        <w:t xml:space="preserve">  ATP + eIF2α (Ser51) → ADP + phospho-eIF2α + H⁺</w:t>
      </w:r>
      <w:r>
        <w:br/>
      </w:r>
      <w:r>
        <w:t xml:space="preserve">This phosphorylation event is central to the integrated stress response (ISR), as the conversion of eIF2α to its phosphorylated form converts it into an inhibitor of its guanine nucleotide exchange factor, thereby downregulating global cap-dependent translation (carlson2023activationofgcn2 pages 15-21, misra2024multiplemechanismsactivate pages 16-16).</w:t>
      </w:r>
    </w:p>
    <w:p>
      <w:pPr>
        <w:numPr>
          <w:ilvl w:val="0"/>
          <w:numId w:val="1001"/>
        </w:numPr>
      </w:pPr>
      <w:r>
        <w:t xml:space="preserve">Cofactor Requirements</w:t>
      </w:r>
      <w:r>
        <w:br/>
      </w:r>
      <w:r>
        <w:t xml:space="preserve">The catalytic activity of GCN2 is dependent on the presence of divalent metal ions. Specifically, the enzyme requires Mg²⁺ as an essential cofactor for its kinase function. Mg²⁺ facilitates proper ATP binding within the conserved nucleotide-binding pocket of the kinase domain, thereby enabling efficient phosphotransfer to eIF2α (carlson2023activationofgcn2 pages 15-21, masson2019towardsamodel pages 2-4).</w:t>
      </w:r>
    </w:p>
    <w:p>
      <w:pPr>
        <w:numPr>
          <w:ilvl w:val="0"/>
          <w:numId w:val="1001"/>
        </w:numPr>
      </w:pPr>
      <w:r>
        <w:t xml:space="preserve">Substrate Specificity</w:t>
      </w:r>
      <w:r>
        <w:br/>
      </w:r>
      <w:r>
        <w:t xml:space="preserve">GCN2 exhibits high substrate specificity for the alpha subunit of eukaryotic initiation factor 2 (eIF2α), phosphorylating it on a critical serine residue (Ser51). The substrate recognition appears to be dictated by the structural compatibility between the kinase active site and the region surrounding Ser51 on eIF2α; this specificity is integral to its role in the integrated stress response. In vitro studies have demonstrated that under conditions of amino acid starvation, eIF2α is the primary substrate of GCN2, a selectivity that is distinct compared to other serine/threonine kinases which recognize broader consensus motifs (carlson2023activationofgcn2 pages 92-96, donnelly2013theeif2αkinases pages 5-6).</w:t>
      </w:r>
    </w:p>
    <w:p>
      <w:pPr>
        <w:numPr>
          <w:ilvl w:val="0"/>
          <w:numId w:val="1001"/>
        </w:numPr>
      </w:pPr>
      <w:r>
        <w:t xml:space="preserve">Structure</w:t>
      </w:r>
      <w:r>
        <w:br/>
      </w:r>
      <w:r>
        <w:t xml:space="preserve">GCN2 is organized into several distinct domains that contribute to its function as a stress sensor and regulatory enzyme. At its N-terminus, the RWD domain mediates interactions with regulatory proteins such as GCN1, a key partner needed for full activation; this domain is named for its similarity to RING finger, WD-repeat proteins, and DEAD-like helicases. Adjacent to the RWD domain lies a pseudokinase domain that, although catalytically inactive, plays an important regulatory role by modulating the activity of the downstream kinase domain. The core catalytic unit is the kinase domain, which adopts a conserved bi-lobal structure featuring an N-terminal lobe primarily responsible for binding ATP and a larger C-terminal lobe that accommodates substrate binding. Critical to its catalytic function is the activation loop within the kinase domain; autophosphorylation events here are required for active conformation and efficient phosphotransfer (carlson2023activationofgcn2 pages 26-31, masson2019towardsamodel pages 1-2). Following the kinase domain, GCN2 contains a histidyl-tRNA synthetase (HisRS)-like domain that binds uncharged tRNAs—a key signal of amino acid limitation—and thereby triggers conformational changes leading to activation of the kinase domain. The C-terminal domain (CTD) contributes to dimerization and ribosome association, a feature that is essential for efficient in vivo activity. In addition, structural studies suggest that the kinase domain possesses unique insertions and conformational flexibility in the C-helix and hydrophobic spine that are critical for switching between inactive and active states (berlanga2016eif2αkinasesand pages 256-258, bruggenthies2021geneticandchemical pages 25-30, rothenburg2016eif2α pages 7-11).</w:t>
      </w:r>
    </w:p>
    <w:p>
      <w:pPr>
        <w:numPr>
          <w:ilvl w:val="0"/>
          <w:numId w:val="1001"/>
        </w:numPr>
      </w:pPr>
      <w:r>
        <w:t xml:space="preserve">Regulation</w:t>
      </w:r>
      <w:r>
        <w:br/>
      </w:r>
      <w:r>
        <w:t xml:space="preserve">GCN2 is regulated by a multifaceted array of mechanisms that ensure its activation only under conditions of cellular stress, particularly amino acid deprivation. The primary regulatory trigger is the binding of deacylated (uncharged) tRNAs to the HisRS-like domain; during periods of amino acid starvation, the accumulation of these uncharged tRNAs induces a conformational change that relieves autoinhibition of the kinase domain (anda2017activationofgcn2 pages 12-13, carlson2023activationofgcn2 pages 31-35). Association with ribosomes further facilitates activation; specifically, the interaction with the ribosome, mediated by the CTD along with the GCN1–GCN20 complex, enhances the sensing of stalled ribosomes and contributes to the robust activation of GCN2 (bruggenthies2021geneticandchemical pages 30-34). Post-translational modifications, notably autophosphorylation of residues within the activation loop, are also essential for full kinase activation. In yeast, for example, phosphorylation at specific threonine residues within the activation segment is required to achieve a catalytically competent conformation (carlson2023activationofgcn2 pages 96-102). Additionally, inhibitory phosphorylations, such as that at Ser577 observed in some studies, can modulate tRNA affinity and thus impact the activation state; regulators such as rapamycin through the TOR pathway have been implicated in modifying these phosphorylation events (cardin2011functionofnck1 pages 61-66). Finally, certain ATP-competitive inhibitors have been observed to paradoxically stabilize an active conformation of GCN2, underscoring the complexity of its allosteric regulation (carlson2023activationofgcn2 pages 66-70).</w:t>
      </w:r>
    </w:p>
    <w:p>
      <w:pPr>
        <w:numPr>
          <w:ilvl w:val="0"/>
          <w:numId w:val="1001"/>
        </w:numPr>
      </w:pPr>
      <w:r>
        <w:t xml:space="preserve">Function</w:t>
      </w:r>
      <w:r>
        <w:br/>
      </w:r>
      <w:r>
        <w:t xml:space="preserve">Under conditions of amino acid scarcity, GCN2 functions as a critical metabolic-stress sensor by phosphorylating eIF2α, thereby initiating the integrated stress response (ISR). The phosphorylation of eIF2α on Ser51 reduces the formation of the eIF2•GTP•tRNAi^Met ternary complex, leading to a global attenuation of cap-dependent protein synthesis. Simultaneously, this modification promotes the selective translation of a subset of mRNAs containing specific regulatory elements, such as upstream open reading frames, which include stress-responsive transcription factors like ATF4. Through this mechanism, GCN2 enables cells to reprogram gene expression in order to mitigate the deleterious effects of nutrient depletion and restore amino acid homeostasis (berlanga2016eif2αkinasesand pages 268-270, carlson2023activationofgcn2 pages 15-21). Beyond its canonical role in translation control, GCN2 is implicated in a variety of physiological pathways. It contributes to immune regulation by modulating cytokine production and macrophage polarization; for instance, alterations in GCN2 activity have been linked to changes in inflammatory responses in immune cells (zhao2023multiplerolesof pages 1-2, bruggenthies2021geneticandchemical pages 312-314). Moreover, GCN2 activity affects cellular metabolism by reducing the overall consumption of amino acids under stress, which in turn supports cell survival during nutrient deprivation (masson2019towardsamodel pages 2-4, zhao2023multiplerolesof pages 6-8). Thus, the kinase plays a central role in linking environmental nutrient signals to translational control programs that are critical for adaptive responses in diverse cellular contexts.</w:t>
      </w:r>
    </w:p>
    <w:p>
      <w:pPr>
        <w:numPr>
          <w:ilvl w:val="0"/>
          <w:numId w:val="1001"/>
        </w:numPr>
      </w:pPr>
      <w:r>
        <w:t xml:space="preserve">Other Comments</w:t>
      </w:r>
      <w:r>
        <w:br/>
      </w:r>
      <w:r>
        <w:t xml:space="preserve">In addition to its central role in stress response signaling, GCN2 has been the target of several pharmacological investigations aimed at modulating its activity. Several ATP-competitive inhibitors—such as GCN2iB—have been developed and studied for their potential to selectively modulate GCN2 activity; notably, some of these compounds have been reported to induce paradoxical activation of the kinase under certain conditions (carlson2023activationofgcn2 pages 31-35, carlson2023activationofgcn2 pages 96-102). Clinically, mutations in the EIF2AK4 gene, which encodes GCN2, have been associated with severe pulmonary vascular disorders including pulmonary veno-occlusive disease and capillary pulmonary hypertension, thereby underscoring the physiological importance of precise GCN2 regulation (anda2017activationofgcn2 pages 12-13, berlanga2016eif2αkinasesand pages 268-270). Furthermore, given its role in modulating the integrated stress response, GCN2 has been implicated in the survival strategies of cancer cells under nutrient stress, and efforts to target its activity are under exploration for therapeutic benefit in oncology and metabolic disease contexts (bruggenthies2021geneticandchemical pages 43-46, carlson2023activationofgcn2 pages 92-96). Its interplay with regulatory proteins—including GCN1 and GCN20—and responsiveness to ribosomal cues highlight a complex control network that may offer multiple intervention points for drug development. Despite these advances, the full spectrum of GCN2’s regulatory mechanisms and its broader biological implications continue to be an active field of research, with ongoing studies aimed at elucidating the intricate balance between its activation, substrate specificity, and downstream signaling outcomes.</w:t>
      </w:r>
    </w:p>
    <w:p>
      <w:pPr>
        <w:pStyle w:val="FirstParagraph"/>
      </w:pPr>
      <w:r>
        <w:t xml:space="preserve">References</w:t>
      </w:r>
    </w:p>
    <w:p>
      <w:pPr>
        <w:numPr>
          <w:ilvl w:val="0"/>
          <w:numId w:val="1002"/>
        </w:numPr>
      </w:pPr>
      <w:r>
        <w:t xml:space="preserve">(anda2017activationofgcn2 pages 12-13): Silje Anda, Róbert Zach, and Beáta Grallert. Activation of gcn2 in response to different stresses. PLOS ONE, 12:e0182143, Aug 2017. URL: https://doi.org/10.1371/journal.pone.0182143, doi:10.1371/journal.pone.0182143. This article has 98 citations and is from a peer-reviewed journal.</w:t>
      </w:r>
    </w:p>
    <w:p>
      <w:pPr>
        <w:numPr>
          <w:ilvl w:val="0"/>
          <w:numId w:val="1002"/>
        </w:numPr>
      </w:pPr>
      <w:r>
        <w:t xml:space="preserve">(berlanga2016eif2αkinasesand pages 256-258):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(berlanga2016eif2αkinasesand pages 268-270): Juan José Berlanga, César de Haro, Miguel A. Rodríguez-Gabriel, and Iván Ventoso. Eif2α kinases and the evolution of stress response in eukaryotes. Evolution of the Protein Synthesis Machinery and Its Regulation, pages 261-276, Jan 2016. URL: https://doi.org/10.1007/978-3-319-39468-8_12, doi:10.1007/978-3-319-39468-8_12. This article has 3 citations.</w:t>
      </w:r>
    </w:p>
    <w:p>
      <w:pPr>
        <w:numPr>
          <w:ilvl w:val="0"/>
          <w:numId w:val="1002"/>
        </w:numPr>
      </w:pPr>
      <w:r>
        <w:t xml:space="preserve">(bruggenthies2021geneticandchemical pages 25-30): JB Brüggenthies. Genetic and chemical perturbation of amino acid sensing by the gcn1-gcn2 pathway. Unknown journal, 2021.</w:t>
      </w:r>
    </w:p>
    <w:p>
      <w:pPr>
        <w:numPr>
          <w:ilvl w:val="0"/>
          <w:numId w:val="1002"/>
        </w:numPr>
      </w:pPr>
      <w:r>
        <w:t xml:space="preserve">(bruggenthies2021geneticandchemical pages 30-34): JB Brüggenthies. Genetic and chemical perturbation of amino acid sensing by the gcn1-gcn2 pathway. Unknown journal, 2021.</w:t>
      </w:r>
    </w:p>
    <w:p>
      <w:pPr>
        <w:numPr>
          <w:ilvl w:val="0"/>
          <w:numId w:val="1002"/>
        </w:numPr>
      </w:pPr>
      <w:r>
        <w:t xml:space="preserve">(bruggenthies2021geneticandchemical pages 312-314): JB Brüggenthies. Genetic and chemical perturbation of amino acid sensing by the gcn1-gcn2 pathway. Unknown journal, 2021.</w:t>
      </w:r>
    </w:p>
    <w:p>
      <w:pPr>
        <w:numPr>
          <w:ilvl w:val="0"/>
          <w:numId w:val="1002"/>
        </w:numPr>
      </w:pPr>
      <w:r>
        <w:t xml:space="preserve">(bruggenthies2021geneticandchemical pages 43-46): JB Brüggenthies. Genetic and chemical perturbation of amino acid sensing by the gcn1-gcn2 pathway. Unknown journal, 2021.</w:t>
      </w:r>
    </w:p>
    <w:p>
      <w:pPr>
        <w:numPr>
          <w:ilvl w:val="0"/>
          <w:numId w:val="1002"/>
        </w:numPr>
      </w:pPr>
      <w:r>
        <w:t xml:space="preserve">(cardin2011functionofnck1 pages 61-66): E Cardin. Function of nck-1 adaptor protein as modulator of eif2alpha phosphorylation by specific eif2alpha kinases and pkr activity. Unknown journal, 2011.</w:t>
      </w:r>
    </w:p>
    <w:p>
      <w:pPr>
        <w:numPr>
          <w:ilvl w:val="0"/>
          <w:numId w:val="1002"/>
        </w:numPr>
      </w:pPr>
      <w:r>
        <w:t xml:space="preserve">(carlson2023activationofgcn2 pages 26-31): KR Carlson. Activation of gcn2 by pharmacological agents designed to be inhibitors. Unknown journal, 2023.</w:t>
      </w:r>
    </w:p>
    <w:p>
      <w:pPr>
        <w:numPr>
          <w:ilvl w:val="0"/>
          <w:numId w:val="1002"/>
        </w:numPr>
      </w:pPr>
      <w:r>
        <w:t xml:space="preserve">(carlson2023activationofgcn2 pages 31-35): KR Carlson. Activation of gcn2 by pharmacological agents designed to be inhibitors. Unknown journal, 2023.</w:t>
      </w:r>
    </w:p>
    <w:p>
      <w:pPr>
        <w:numPr>
          <w:ilvl w:val="0"/>
          <w:numId w:val="1002"/>
        </w:numPr>
      </w:pPr>
      <w:r>
        <w:t xml:space="preserve">(carlson2023activationofgcn2 pages 96-102): KR Carlson. Activation of gcn2 by pharmacological agents designed to be inhibitors. Unknown journal, 2023.</w:t>
      </w:r>
    </w:p>
    <w:p>
      <w:pPr>
        <w:numPr>
          <w:ilvl w:val="0"/>
          <w:numId w:val="1002"/>
        </w:numPr>
      </w:pPr>
      <w:r>
        <w:t xml:space="preserve">(masson2019towardsamodel pages 1-2): Glenn R. Masson. Towards a model of gcn2 activation. Biochemical Society Transactions, 47:1481-1488, Oct 2019. URL: https://doi.org/10.1042/bst20190331, doi:10.1042/bst20190331. This article has 141 citations and is from a peer-reviewed journal.</w:t>
      </w:r>
    </w:p>
    <w:p>
      <w:pPr>
        <w:numPr>
          <w:ilvl w:val="0"/>
          <w:numId w:val="1002"/>
        </w:numPr>
      </w:pPr>
      <w:r>
        <w:t xml:space="preserve">(masson2019towardsamodel pages 2-4): Glenn R. Masson. Towards a model of gcn2 activation. Biochemical Society Transactions, 47:1481-1488, Oct 2019. URL: https://doi.org/10.1042/bst20190331, doi:10.1042/bst20190331. This article has 141 citations and is from a peer-reviewed journal.</w:t>
      </w:r>
    </w:p>
    <w:p>
      <w:pPr>
        <w:numPr>
          <w:ilvl w:val="0"/>
          <w:numId w:val="1002"/>
        </w:numPr>
      </w:pPr>
      <w:r>
        <w:t xml:space="preserve">(zhao2023multiplerolesof pages 1-2): Chenxu Zhao, Han Guo, Yangxiao Hou, Tong Lei, Dong Wei, and Yong Zhao. Multiple roles of the stress sensor gcn2 in immune cells. International Journal of Molecular Sciences, 24:4285, Feb 2023. URL: https://doi.org/10.3390/ijms24054285, doi:10.3390/ijms24054285. This article has 23 citations and is from a peer-reviewed journal.</w:t>
      </w:r>
    </w:p>
    <w:p>
      <w:pPr>
        <w:numPr>
          <w:ilvl w:val="0"/>
          <w:numId w:val="1002"/>
        </w:numPr>
      </w:pPr>
      <w:r>
        <w:t xml:space="preserve">(zhao2023multiplerolesof pages 6-8): Chenxu Zhao, Han Guo, Yangxiao Hou, Tong Lei, Dong Wei, and Yong Zhao. Multiple roles of the stress sensor gcn2 in immune cells. International Journal of Molecular Sciences, 24:4285, Feb 2023. URL: https://doi.org/10.3390/ijms24054285, doi:10.3390/ijms24054285. This article has 23 citations and is from a peer-reviewed journal.</w:t>
      </w:r>
    </w:p>
    <w:p>
      <w:pPr>
        <w:numPr>
          <w:ilvl w:val="0"/>
          <w:numId w:val="1002"/>
        </w:numPr>
      </w:pPr>
      <w:r>
        <w:t xml:space="preserve">(carlson2023activationofgcn2 pages 15-21): KR Carlson. Activation of gcn2 by pharmacological agents designed to be inhibitors. Unknown journal, 2023.</w:t>
      </w:r>
    </w:p>
    <w:p>
      <w:pPr>
        <w:numPr>
          <w:ilvl w:val="0"/>
          <w:numId w:val="1002"/>
        </w:numPr>
      </w:pPr>
      <w:r>
        <w:t xml:space="preserve">(carlson2023activationofgcn2 pages 66-70): KR Carlson. Activation of gcn2 by pharmacological agents designed to be inhibitors. Unknown journal, 2023.</w:t>
      </w:r>
    </w:p>
    <w:p>
      <w:pPr>
        <w:numPr>
          <w:ilvl w:val="0"/>
          <w:numId w:val="1002"/>
        </w:numPr>
      </w:pPr>
      <w:r>
        <w:t xml:space="preserve">(carlson2023activationofgcn2 pages 92-96): KR Carlson. Activation of gcn2 by pharmacological agents designed to be inhibitors. Unknown journal, 2023.</w:t>
      </w:r>
    </w:p>
    <w:p>
      <w:pPr>
        <w:numPr>
          <w:ilvl w:val="0"/>
          <w:numId w:val="1002"/>
        </w:numPr>
      </w:pPr>
      <w:r>
        <w:t xml:space="preserve">(cavener2000amammalianhomologue pages 14-15): DR Cavener. A mammalian homologue of gcn2 protein kinase important for translational control by phosphorylation of eukaryotic initiation factor-2α. Unknown journal, 2000.</w:t>
      </w:r>
    </w:p>
    <w:p>
      <w:pPr>
        <w:numPr>
          <w:ilvl w:val="0"/>
          <w:numId w:val="1002"/>
        </w:numPr>
      </w:pPr>
      <w:r>
        <w:t xml:space="preserve">(donnelly2013theeif2αkinases pages 5-6): Neysan Donnelly, Adrienne M. Gorman, Sanjeev Gupta, and Afshin Samali. The eif2α kinases: their structures and functions. Cellular and Molecular Life Sciences, 70:3493-3511, Jan 2013. URL: https://doi.org/10.1007/s00018-012-1252-6, doi:10.1007/s00018-012-1252-6. This article has 1038 citations and is from a domain leading peer-reviewed journal.</w:t>
      </w:r>
    </w:p>
    <w:p>
      <w:pPr>
        <w:numPr>
          <w:ilvl w:val="0"/>
          <w:numId w:val="1002"/>
        </w:numPr>
      </w:pPr>
      <w:r>
        <w:t xml:space="preserve">(li2009studyofgcn2 pages 21-27): MW Li. Study of gcn2 in arabidopsis thaliana. Unknown journal, 2009.</w:t>
      </w:r>
    </w:p>
    <w:p>
      <w:pPr>
        <w:numPr>
          <w:ilvl w:val="0"/>
          <w:numId w:val="1002"/>
        </w:numPr>
      </w:pPr>
      <w:r>
        <w:t xml:space="preserve">(lokdarshi2022reviewemergingroles pages 13-14): Ansul Lokdarshi and Albrecht G. von Arnim. Review: emerging roles of the signaling network of the protein kinase gcn2 in the plant stress response. Plant Science, 320:111280, Jul 2022. URL: https://doi.org/10.1016/j.plantsci.2022.111280, doi:10.1016/j.plantsci.2022.111280. This article has 18 citations and is from a peer-reviewed journal.</w:t>
      </w:r>
    </w:p>
    <w:p>
      <w:pPr>
        <w:numPr>
          <w:ilvl w:val="0"/>
          <w:numId w:val="1002"/>
        </w:numPr>
      </w:pPr>
      <w:r>
        <w:t xml:space="preserve">(misra2024multiplemechanismsactivate pages 16-16): Jagannath Misra, Kenneth R Carlson, Dan F Spandau, and Ronald C Wek. Multiple mechanisms activate gcn2 eif2 kinase in response to diverse stress conditions. Nucleic Acids Research, 52:1830-1846, Jan 2024. URL: https://doi.org/10.1093/nar/gkae006, doi:10.1093/nar/gkae006. This article has 31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2025-06-18T18:52:25Z</dcterms:created>
  <dcterms:modified xsi:type="dcterms:W3CDTF">2025-06-18T18:52:25Z</dcterms:modified>
</cp:coreProperties>
</file>

<file path=docProps/custom.xml><?xml version="1.0" encoding="utf-8"?>
<Properties xmlns="http://schemas.openxmlformats.org/officeDocument/2006/custom-properties" xmlns:vt="http://schemas.openxmlformats.org/officeDocument/2006/docPropsVTypes"/>
</file>