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Vascular endothelial growth factor receptor 3 (VEGFR3), encoded by the FLT4 gene and also known as Fms‐like tyrosine kinase 4, is a member of the receptor tyrosine kinase family that specifically belongs to the VEGF receptor subfamily responsible for vascular and lymphatic development (brunet2016wholegenomeduplications pages 4-4, brunet2016wholegenomeduplications pages 7-7). Orthologs of VEGFR3 are conserved across all mammalian species and its evolutionary origins can be traced back to the whole genome duplications that occurred in jawed vertebrates, a process that expanded the receptor tyrosine kinase repertoire and gave rise to distinct VEGFR paralogues (brunet2016wholegenomeduplications pages 4-4, brunet2016wholegenomeduplications pages 7-7). In addition, its phylogenetic relationship with other members of the VEGF receptor family—such as VEGFR1 and VEGFR2—places VEGFR3 within an evolutionarily conserved signaling module pivotal to both angiogenesis and lymphangiogenesis (clark2022pullingbackthe pages 23-24).</w:t>
      </w:r>
    </w:p>
    <w:p>
      <w:pPr>
        <w:numPr>
          <w:ilvl w:val="0"/>
          <w:numId w:val="1001"/>
        </w:numPr>
      </w:pPr>
      <w:r>
        <w:t xml:space="preserve">Reaction Catalyzed</w:t>
      </w:r>
      <w:r>
        <w:br/>
      </w:r>
      <w:r>
        <w:t xml:space="preserve">VEGFR3 functions as a receptor tyrosine kinase that catalyzes an ATP-dependent phosphorylation reaction; it transfers the γ-phosphate group from ATP to tyrosine residues on substrate proteins, including autophosphorylation sites on its own intracellular domain (shibuya2010tyrosinekinasereceptor pages 1-2, haddad2012theimmunopharmacologicpotential pages 5-6). This reaction can be summarized as: ATP + [protein]-L-tyrosine → ADP + [protein]-phosphotyrosine + H⁺ (shibuya2010tyrosinekinasereceptor pages 1-2, haddad2012theimmunopharmacologicpotential pages 5-6).</w:t>
      </w:r>
    </w:p>
    <w:p>
      <w:pPr>
        <w:numPr>
          <w:ilvl w:val="0"/>
          <w:numId w:val="1001"/>
        </w:numPr>
      </w:pPr>
      <w:r>
        <w:t xml:space="preserve">Cofactor Requirements</w:t>
      </w:r>
      <w:r>
        <w:br/>
      </w:r>
      <w:r>
        <w:t xml:space="preserve">The kinase activity of VEGFR3 is dependent on divalent metal ions, primarily Mg²⁺, which are required to coordinate ATP within its active site and facilitate the efficient transfer of the phosphate group during catalysis (haddad2012theimmunopharmacologicpotential pages 5-6, gao2013abroadactivity pages 6-8).</w:t>
      </w:r>
    </w:p>
    <w:p>
      <w:pPr>
        <w:numPr>
          <w:ilvl w:val="0"/>
          <w:numId w:val="1001"/>
        </w:numPr>
      </w:pPr>
      <w:r>
        <w:t xml:space="preserve">Substrate Specificity</w:t>
      </w:r>
      <w:r>
        <w:br/>
      </w:r>
      <w:r>
        <w:t xml:space="preserve">VEGFR3 phosphorylates specific tyrosine residues on its cytoplasmic tail via autophosphorylation, thereby creating docking sites for downstream adaptor proteins containing SH2 domains; these interactions are crucial for the propagation of intracellular signaling cascades involved in lymphangiogenesis and vascular remodeling (shibuya2010tyrosinekinasereceptor pages 2-3, haddad2012theimmunopharmacologicpotential pages 5-6). Although a defined consensus substrate motif for VEGFR3 has not been explicitly detailed in the literature provided, its substrate specificity is inferred from its role in phosphorylation of signaling effectors that mediate endothelial cell responses.</w:t>
      </w:r>
    </w:p>
    <w:p>
      <w:pPr>
        <w:numPr>
          <w:ilvl w:val="0"/>
          <w:numId w:val="1001"/>
        </w:numPr>
      </w:pPr>
      <w:r>
        <w:t xml:space="preserve">Structure</w:t>
      </w:r>
      <w:r>
        <w:br/>
      </w:r>
      <w:r>
        <w:t xml:space="preserve">VEGFR3 is organized into three major regions. The extracellular domain is composed of approximately seven immunoglobulin-like (Ig-like) loops that provide the structural framework for high-affinity binding to its ligands, VEGF-C and VEGF-D; notably, the fifth Ig-like domain undergoes proteolytic cleavage, and the resultant fragments remain linked by a disulfide bond, conferring stability and specificity to ligand binding (zecchin2014reversibleacetylationregulates pages 55-60, zecchin2014reversibleacetylationregulates pages 75-80). This is followed by a single transmembrane helix that anchors the receptor in the plasma membrane. The intracellular portion contains a split tyrosine kinase domain responsible for catalyzing the phosphorylation reaction; this catalytic module includes essential features such as the activation loop, the hydrophobic spine, and the C-helix, all of which are critical for the conformational changes required for full enzymatic activity (zecchin2014reversibleacetylationregulates pages 50-55). Isoform diversity further refines its function: isoform 1 and isoform 2 are membrane-anchored, with isoform 2 possessing a truncated C-terminus that lacks several phosphotyrosine docking sites, rendering it less efficient in downstream signal transduction, while a secreted isoform (isoform 3) may function as a decoy receptor to attenuate VEGF-C/VEGF-D signaling (kunnapuu2021proteolyticcleavagesin pages 1-2).</w:t>
      </w:r>
    </w:p>
    <w:p>
      <w:pPr>
        <w:numPr>
          <w:ilvl w:val="0"/>
          <w:numId w:val="1001"/>
        </w:numPr>
      </w:pPr>
      <w:r>
        <w:t xml:space="preserve">Regulation</w:t>
      </w:r>
      <w:r>
        <w:br/>
      </w:r>
      <w:r>
        <w:t xml:space="preserve">The activation of VEGFR3 is initiated by ligand binding; VEGF-C and VEGF-D, which are synthesized as inactive precursor proteins, must undergo regulated proteolytic cleavages to become fully active and capable of binding VEGFR3 (kunnapuu2021proteolyticcleavagesin pages 13-14). Ligand binding triggers receptor dimerization and subsequent autophosphorylation on key tyrosine residues within its intracellular domain, thereby generating docking sites for downstream signaling molecules (shibuya2010tyrosinekinasereceptor pages 1-2). This receptor-mediated signaling is further modulated through heterodimerization with VEGFR2 (KDR), which alters the overall signaling output and influences angiogenic sprouting (haddad2012theimmunopharmacologicpotential pages 3-5). In addition, activated VEGFR3 engages in a positive feedback mechanism by promoting the enhanced production of VEGF-C (and, to a lesser extent, VEGF-A), thereby further amplifying its own signal (kunnapuu2021proteolyticcleavagesin pages 19-20). Post-translational modifications—primarily phosphorylation, and in related receptors reversible acetylation as observed for VEGFR2—play an essential role in tuning the kinase activity and downstream signaling pathways (zecchin2014reversibleacetylationregulates pages 172-176).</w:t>
      </w:r>
    </w:p>
    <w:p>
      <w:pPr>
        <w:numPr>
          <w:ilvl w:val="0"/>
          <w:numId w:val="1001"/>
        </w:numPr>
      </w:pPr>
      <w:r>
        <w:t xml:space="preserve">Function</w:t>
      </w:r>
      <w:r>
        <w:br/>
      </w:r>
      <w:r>
        <w:t xml:space="preserve">VEGFR3 is primarily expressed on lymphatic endothelial cells and is essential for the process of lymphangiogenesis, both during embryonic development of the vascular network and in the maintenance of the adult lymphatic system (kunnapuu2021proteolyticcleavagesin pages 1-2, hong2004developmentofthe pages 4-5). Upon activation by its ligands, active VEGFR3 promotes proliferation, survival, and migration of endothelial cells, thus playing a pivotal role in the formation of new lymphatic vessels and the regulation of angiogenic sprouting (shibuya2010tyrosinekinasereceptor pages 1-2). Furthermore, VEGFR3 modulates blood vascular development by forming heterodimers with VEGFR2, contributing to fine-tuning the balance between angiogenesis and lymphangiogenesis (haddad2012theimmunopharmacologicpotential pages 3-5). The positive feedback loop established by VEGFR3 signaling—namely, the receptor’s ability to enhance local production of VEGF-C and, to a lesser degree, VEGF-A—further underscores its critical role in maintaining vascular homeostasis (kunnapuu2021proteolyticcleavagesin pages 19-20).</w:t>
      </w:r>
    </w:p>
    <w:p>
      <w:pPr>
        <w:numPr>
          <w:ilvl w:val="0"/>
          <w:numId w:val="1001"/>
        </w:numPr>
      </w:pPr>
      <w:r>
        <w:t xml:space="preserve">Other Comments</w:t>
      </w:r>
      <w:r>
        <w:br/>
      </w:r>
      <w:r>
        <w:t xml:space="preserve">Isoform diversity of VEGFR3 contributes to its complex regulatory roles; for instance, the secreted isoform 3 functions as a decoy receptor to sequester VEGF-C and VEGF-D, thereby acting as a negative regulator of lymphangiogenesis and angiogenesis (kunnapuu2021proteolyticcleavagesin pages 1-2). Furthermore, genetic studies have identified mutations in FLT4 that are linked to hereditary lymphedema, such as Milroy disease, with specific point mutations in the kinase domain (e.g., I1053F) resulting in impaired receptor signaling (clark2022pullingbackthe pages 23-24). Pharmacological targeting of VEGFR3 has been investigated using small-molecule tyrosine kinase inhibitors—for example, compounds initially developed for anti-angiogenic therapy, including SU-5416, have demonstrated inhibitory effects on VEGFR signaling, offering potential therapeutic benefits for conditions such as tumor lymphangiogenesis and metastasis (haddad2012theimmunopharmacologicpotential pages 19-20, gao2013abroadactivity pages 6-8). Additionally, proper proteolytic processing of VEGF-C and VEGF-D is critical for effective VEGFR3 activation, and dysregulation of these proteolytic events can lead to pathological states associated with lymphatic vascular disorders (kunnapuu2021proteolyticcleavagesin pages 19-20).</w:t>
      </w:r>
    </w:p>
    <w:p>
      <w:pPr>
        <w:numPr>
          <w:ilvl w:val="0"/>
          <w:numId w:val="1001"/>
        </w:numPr>
      </w:pPr>
      <w:r>
        <w:t xml:space="preserve">References</w:t>
      </w:r>
      <w:r>
        <w:br/>
      </w:r>
    </w:p>
    <w:p>
      <w:pPr>
        <w:numPr>
          <w:ilvl w:val="0"/>
          <w:numId w:val="1001"/>
        </w:numPr>
      </w:pPr>
      <w:r>
        <w:t xml:space="preserve">Künnapuu, J., Bokharaie, H., &amp; Jeltsch, M. “Proteolytic Cleavages in the VEGF Family: Generating Diversity Among Angiogenic VEGFs, Essential for the Activation of Lymphangiogenic VEGFs.” Biology, 10:167, Feb 2021. doi:10.3390/biology10020167. [Cited: pages 1-2, 13-14, 18-19, 19-20]</w:t>
      </w:r>
      <w:r>
        <w:br/>
      </w:r>
    </w:p>
    <w:p>
      <w:pPr>
        <w:numPr>
          <w:ilvl w:val="0"/>
          <w:numId w:val="1001"/>
        </w:numPr>
      </w:pPr>
      <w:r>
        <w:t xml:space="preserve">Brunet, F. G., Volff, J.-N., &amp; Schartl, M. “Whole Genome Duplications Shaped the Receptor Tyrosine Kinase Repertoire of Jawed Vertebrates.” Genome Biology and Evolution, 8:1600-1613, May 2016. doi:10.1093/gbe/evw103. [Cited: pages 4-4, 7-7]</w:t>
      </w:r>
      <w:r>
        <w:br/>
      </w:r>
    </w:p>
    <w:p>
      <w:pPr>
        <w:numPr>
          <w:ilvl w:val="0"/>
          <w:numId w:val="1001"/>
        </w:numPr>
      </w:pPr>
      <w:r>
        <w:t xml:space="preserve">Clark, J. F. &amp; Soriano, P. “Pulling Back the Curtain: The Hidden Functions of Receptor Tyrosine Kinases in Development.” Current Topics in Developmental Biology, 149:123-152, 2022. doi:10.1016/bs.ctdb.2021.12.001. [Cited: pages 23-24]</w:t>
      </w:r>
      <w:r>
        <w:br/>
      </w:r>
    </w:p>
    <w:p>
      <w:pPr>
        <w:numPr>
          <w:ilvl w:val="0"/>
          <w:numId w:val="1001"/>
        </w:numPr>
      </w:pPr>
      <w:r>
        <w:t xml:space="preserve">Haddad, J. J. “The Immunopharmacologic Potential of Semaxanib and New Generation Directed Therapeutic Drugs: Receptor Tyrosine Kinase Regulation with Anti-tumorigenesis/Angiogenesis Properties.” Saudi Pharmaceutical Journal, 20(2):103-123, Apr 2012. doi:10.1016/j.jsps.2011.09.002. [Cited: pages 3-5, 5-6, 16-17, 19-20, 20-21, 2-3]</w:t>
      </w:r>
      <w:r>
        <w:br/>
      </w:r>
    </w:p>
    <w:p>
      <w:pPr>
        <w:numPr>
          <w:ilvl w:val="0"/>
          <w:numId w:val="1001"/>
        </w:numPr>
      </w:pPr>
      <w:r>
        <w:t xml:space="preserve">Shibuya, M. “Tyrosine Kinase Receptor Flt/VEGFR Family: Its Characterization Related to Angiogenesis and Cancer.” Genes &amp; Cancer, 1:1119-1123, Nov 2010. doi:10.1177/1947601910392987. [Cited: pages 1-2, 2-3]</w:t>
      </w:r>
      <w:r>
        <w:br/>
      </w:r>
    </w:p>
    <w:p>
      <w:pPr>
        <w:numPr>
          <w:ilvl w:val="0"/>
          <w:numId w:val="1001"/>
        </w:numPr>
      </w:pPr>
      <w:r>
        <w:t xml:space="preserve">Zecchin, A., Pattarini, L., Gutierrez, M. I., Mano, M., Mai, A., Valente, S., Myers, M. P., Pantano, S., &amp; Giacca, M. “Reversible Acetylation Regulates Vascular Endothelial Growth Factor Receptor-2 Activity.” Journal of Molecular Cell Biology, 6:116-127, Mar 2014. doi:10.1093/jmcb/mju010. [Cited: pages 45-50, 50-55, 55-60, 75-80, 172-176, 194-197, 183-187]</w:t>
      </w:r>
      <w:r>
        <w:br/>
      </w:r>
    </w:p>
    <w:p>
      <w:pPr>
        <w:numPr>
          <w:ilvl w:val="0"/>
          <w:numId w:val="1001"/>
        </w:numPr>
      </w:pPr>
      <w:r>
        <w:t xml:space="preserve">Gao, Y., Davies, S. P., Augustin, M., Woodward, A., Patel, U. A., Kovelman, R., &amp; Harvey, K. J. “A Broad Activity Screen in Support of a Chemogenomic Map for Kinase Signalling Research and Drug Discovery.” Biochemical Journal, 451:313-328, Mar 2013. doi:10.1042/bj20121418. [Cited: pages 6-8]</w:t>
      </w:r>
      <w:r>
        <w:br/>
      </w:r>
    </w:p>
    <w:p>
      <w:pPr>
        <w:numPr>
          <w:ilvl w:val="0"/>
          <w:numId w:val="1001"/>
        </w:numPr>
      </w:pPr>
      <w:r>
        <w:t xml:space="preserve">Hong, Y.-K., Shin, J. W., &amp; Detmar, M. “Development of the Lymphatic Vascular System: A Mystery Unravels.” Developmental Dynamics, Nov 2004. doi:10.1002/dvdy.20179. [Cited: pages 4-5]</w:t>
      </w:r>
      <w:r>
        <w:br/>
      </w:r>
    </w:p>
    <w:p>
      <w:pPr>
        <w:numPr>
          <w:ilvl w:val="0"/>
          <w:numId w:val="1001"/>
        </w:numPr>
      </w:pPr>
      <w:r>
        <w:t xml:space="preserve">Li, S., Wang, Z., Li, F., Yu, K., &amp; Xiang, J. “A Novel Vascular Endothelial Growth Factor Receptor Participates in White Spot Syndrome Virus Infection in Litopenaeus vannamei.” Frontiers in Immunology, Nov 2017. doi:10.3389/fimmu.2017.01457. [Cited: pages 10-11]</w:t>
      </w:r>
      <w:r>
        <w:br/>
      </w:r>
    </w:p>
    <w:p>
      <w:pPr>
        <w:numPr>
          <w:ilvl w:val="0"/>
          <w:numId w:val="1001"/>
        </w:numPr>
      </w:pPr>
      <w:r>
        <w:t xml:space="preserve">Schartl, M., Volff, J.-N., &amp; Brunet, F. “Evolution of Receptor Tyrosine Kinases.” In: Receptor Tyrosine Kinases: Structure, Functions and Role in Human Disease, Oct 2015. doi:10.1007/978-1-4939-2053-2_2. [Cited: pages 3-7]</w:t>
      </w:r>
      <w:r>
        <w:br/>
      </w:r>
    </w:p>
    <w:p>
      <w:pPr>
        <w:numPr>
          <w:ilvl w:val="0"/>
          <w:numId w:val="1001"/>
        </w:numPr>
      </w:pPr>
      <w:r>
        <w:t xml:space="preserve">Shahik, S., Salauddin, A., Hossain, M., Noyon, S. H., Moin, A. T., Mizan, S., &amp; Raza, M. T. “Screening of Novel Alkaloid Inhibitors for Vascular Endothelial Growth Factor in Cancer Cells: An Integrated Computational Approach.” Genomics &amp; Informatics, Mar 2021. doi:10.5808/gi.20068. [Cited: pages 1-2]</w:t>
      </w:r>
      <w:r>
        <w:br/>
      </w:r>
    </w:p>
    <w:p>
      <w:pPr>
        <w:numPr>
          <w:ilvl w:val="0"/>
          <w:numId w:val="1001"/>
        </w:numPr>
      </w:pPr>
      <w:r>
        <w:t xml:space="preserve">Berenstein, R. “Class III Receptor Tyrosine Kinases in Acute Leukemia – Biological Functions and Modern Laboratory Analysis.” Biomarker Insights, 10(s3):BMI.S22433, Jan 2015. doi:10.4137/bmi.s22433. [Cited: pages 1-2].</w:t>
      </w:r>
    </w:p>
    <w:p>
      <w:pPr>
        <w:pStyle w:val="FirstParagraph"/>
      </w:pPr>
      <w:r>
        <w:t xml:space="preserve">References</w:t>
      </w:r>
    </w:p>
    <w:p>
      <w:pPr>
        <w:numPr>
          <w:ilvl w:val="0"/>
          <w:numId w:val="1002"/>
        </w:numPr>
      </w:pPr>
      <w:r>
        <w:t xml:space="preserve">(brunet2016wholegenomeduplications pages 4-4):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2"/>
        </w:numPr>
      </w:pPr>
      <w:r>
        <w:t xml:space="preserve">(clark2022pullingbackthe pages 23-24): James F. Clark and P. Soriano. Pulling back the curtain: the hidden functions of receptor tyrosine kinases in development. Current topics in developmental biology, 149:123-152, 2022. URL: https://doi.org/10.1016/bs.ctdb.2021.12.001, doi:10.1016/bs.ctdb.2021.12.001. This article has 11 citations and is from a peer-reviewed journal.</w:t>
      </w:r>
    </w:p>
    <w:p>
      <w:pPr>
        <w:numPr>
          <w:ilvl w:val="0"/>
          <w:numId w:val="1002"/>
        </w:numPr>
      </w:pPr>
      <w:r>
        <w:t xml:space="preserve">(haddad2012theimmunopharmacologicpotential pages 3-5): JJ Haddad. The immunopharmacologic potential of semaxanib and new generation directed therapeutic drugs: receptor tyrosine kinase regulation with anti-tumorigenensis/angiogenesis properties. Saudi pharmaceutical journal : SPJ : the official publication of the Saudi Pharmaceutical Society, 20 2:103-23, Apr 2012. URL: https://doi.org/10.1016/j.jsps.2011.09.002, doi:10.1016/j.jsps.2011.09.002. This article has 31 citations.</w:t>
      </w:r>
    </w:p>
    <w:p>
      <w:pPr>
        <w:numPr>
          <w:ilvl w:val="0"/>
          <w:numId w:val="1002"/>
        </w:numPr>
      </w:pPr>
      <w:r>
        <w:t xml:space="preserve">(kunnapuu2021proteolyticcleavagesin pages 1-2): Jaana Künnapuu, Honey Bokharaie, and Michael Jeltsch. Proteolytic cleavages in the vegf family: generating diversity among angiogenic vegfs, essential for the activation of lymphangiogenic vegfs. Biology, 10:167, Feb 2021. URL: https://doi.org/10.3390/biology10020167, doi:10.3390/biology10020167. This article has 55 citations and is from a peer-reviewed journal.</w:t>
      </w:r>
    </w:p>
    <w:p>
      <w:pPr>
        <w:numPr>
          <w:ilvl w:val="0"/>
          <w:numId w:val="1002"/>
        </w:numPr>
      </w:pPr>
      <w:r>
        <w:t xml:space="preserve">(kunnapuu2021proteolyticcleavagesin pages 13-14): Jaana Künnapuu, Honey Bokharaie, and Michael Jeltsch. Proteolytic cleavages in the vegf family: generating diversity among angiogenic vegfs, essential for the activation of lymphangiogenic vegfs. Biology, 10:167, Feb 2021. URL: https://doi.org/10.3390/biology10020167, doi:10.3390/biology10020167. This article has 55 citations and is from a peer-reviewed journal.</w:t>
      </w:r>
    </w:p>
    <w:p>
      <w:pPr>
        <w:numPr>
          <w:ilvl w:val="0"/>
          <w:numId w:val="1002"/>
        </w:numPr>
      </w:pPr>
      <w:r>
        <w:t xml:space="preserve">(kunnapuu2021proteolyticcleavagesin pages 19-20): Jaana Künnapuu, Honey Bokharaie, and Michael Jeltsch. Proteolytic cleavages in the vegf family: generating diversity among angiogenic vegfs, essential for the activation of lymphangiogenic vegfs. Biology, 10:167, Feb 2021. URL: https://doi.org/10.3390/biology10020167, doi:10.3390/biology10020167. This article has 55 citations and is from a peer-reviewed journal.</w:t>
      </w:r>
    </w:p>
    <w:p>
      <w:pPr>
        <w:numPr>
          <w:ilvl w:val="0"/>
          <w:numId w:val="1002"/>
        </w:numPr>
      </w:pPr>
      <w:r>
        <w:t xml:space="preserve">(shibuya2010tyrosinekinasereceptor pages 1-2): M Shibuya. Tyrosine kinase receptor flt/vegfr family: its characterization related to angiogenesis and cancer. Genes &amp; Cancer, 1:1119-1123, Nov 2010. URL: https://doi.org/10.1177/1947601910392987, doi:10.1177/1947601910392987. This article has 70 citations.</w:t>
      </w:r>
    </w:p>
    <w:p>
      <w:pPr>
        <w:numPr>
          <w:ilvl w:val="0"/>
          <w:numId w:val="1002"/>
        </w:numPr>
      </w:pPr>
      <w:r>
        <w:t xml:space="preserve">(shibuya2010tyrosinekinasereceptor pages 2-3): M Shibuya. Tyrosine kinase receptor flt/vegfr family: its characterization related to angiogenesis and cancer. Genes &amp; Cancer, 1:1119-1123, Nov 2010. URL: https://doi.org/10.1177/1947601910392987, doi:10.1177/1947601910392987. This article has 70 citations.</w:t>
      </w:r>
    </w:p>
    <w:p>
      <w:pPr>
        <w:numPr>
          <w:ilvl w:val="0"/>
          <w:numId w:val="1002"/>
        </w:numPr>
      </w:pPr>
      <w:r>
        <w:t xml:space="preserve">(zecchin2014reversibleacetylationregulates pages 50-55): Annalisa Zecchin, Lucia Pattarini, Maria Ines Gutierrez, Miguel Mano, Antonello Mai, Sergio Valente, Mike P. Myers, Sergio Pantano, and Mauro Giacca. Reversible acetylation regulates vascular endothelial growth factor receptor-2 activity. Journal of Molecular Cell Biology, 6:116-127, Mar 2014. URL: https://doi.org/10.1093/jmcb/mju010, doi:10.1093/jmcb/mju010. This article has 33 citations and is from a peer-reviewed journal.</w:t>
      </w:r>
    </w:p>
    <w:p>
      <w:pPr>
        <w:numPr>
          <w:ilvl w:val="0"/>
          <w:numId w:val="1002"/>
        </w:numPr>
      </w:pPr>
      <w:r>
        <w:t xml:space="preserve">(zecchin2014reversibleacetylationregulates pages 55-60): Annalisa Zecchin, Lucia Pattarini, Maria Ines Gutierrez, Miguel Mano, Antonello Mai, Sergio Valente, Mike P. Myers, Sergio Pantano, and Mauro Giacca. Reversible acetylation regulates vascular endothelial growth factor receptor-2 activity. Journal of Molecular Cell Biology, 6:116-127, Mar 2014. URL: https://doi.org/10.1093/jmcb/mju010, doi:10.1093/jmcb/mju010. This article has 33 citations and is from a peer-reviewed journal.</w:t>
      </w:r>
    </w:p>
    <w:p>
      <w:pPr>
        <w:numPr>
          <w:ilvl w:val="0"/>
          <w:numId w:val="1002"/>
        </w:numPr>
      </w:pPr>
      <w:r>
        <w:t xml:space="preserve">(zecchin2014reversibleacetylationregulates pages 75-80): Annalisa Zecchin, Lucia Pattarini, Maria Ines Gutierrez, Miguel Mano, Antonello Mai, Sergio Valente, Mike P. Myers, Sergio Pantano, and Mauro Giacca. Reversible acetylation regulates vascular endothelial growth factor receptor-2 activity. Journal of Molecular Cell Biology, 6:116-127, Mar 2014. URL: https://doi.org/10.1093/jmcb/mju010, doi:10.1093/jmcb/mju010. This article has 33 citations and is from a peer-reviewed journal.</w:t>
      </w:r>
    </w:p>
    <w:p>
      <w:pPr>
        <w:numPr>
          <w:ilvl w:val="0"/>
          <w:numId w:val="1002"/>
        </w:numPr>
      </w:pPr>
      <w:r>
        <w:t xml:space="preserve">(gao2013abroadactivity pages 6-8): Yinghong Gao, Stephen P. Davies, Martin Augustin, Anna Woodward, Umesh A. Patel, Robert Kovelman, and Kevin J. Harvey. A broad activity screen in support of a chemogenomic map for kinase signalling research and drug discovery. Biochemical Journal, 451:313-328, Mar 2013. URL: https://doi.org/10.1042/bj20121418, doi:10.1042/bj20121418. This article has 152 citations and is from a domain leading peer-reviewed journal.</w:t>
      </w:r>
    </w:p>
    <w:p>
      <w:pPr>
        <w:numPr>
          <w:ilvl w:val="0"/>
          <w:numId w:val="1002"/>
        </w:numPr>
      </w:pPr>
      <w:r>
        <w:t xml:space="preserve">(haddad2012theimmunopharmacologicpotential pages 19-20): JJ Haddad. The immunopharmacologic potential of semaxanib and new generation directed therapeutic drugs: receptor tyrosine kinase regulation with anti-tumorigenensis/angiogenesis properties. Saudi pharmaceutical journal : SPJ : the official publication of the Saudi Pharmaceutical Society, 20 2:103-23, Apr 2012. URL: https://doi.org/10.1016/j.jsps.2011.09.002, doi:10.1016/j.jsps.2011.09.002. This article has 31 citations.</w:t>
      </w:r>
    </w:p>
    <w:p>
      <w:pPr>
        <w:numPr>
          <w:ilvl w:val="0"/>
          <w:numId w:val="1002"/>
        </w:numPr>
      </w:pPr>
      <w:r>
        <w:t xml:space="preserve">(haddad2012theimmunopharmacologicpotential pages 5-6): JJ Haddad. The immunopharmacologic potential of semaxanib and new generation directed therapeutic drugs: receptor tyrosine kinase regulation with anti-tumorigenensis/angiogenesis properties. Saudi pharmaceutical journal : SPJ : the official publication of the Saudi Pharmaceutical Society, 20 2:103-23, Apr 2012. URL: https://doi.org/10.1016/j.jsps.2011.09.002, doi:10.1016/j.jsps.2011.09.002. This article has 31 citations.</w:t>
      </w:r>
    </w:p>
    <w:p>
      <w:pPr>
        <w:numPr>
          <w:ilvl w:val="0"/>
          <w:numId w:val="1002"/>
        </w:numPr>
      </w:pPr>
      <w:r>
        <w:t xml:space="preserve">(hong2004developmentofthe pages 4-5): Young‐Kwon Hong, Jay W. Shin, and Michael Detmar. Development of the lymphatic vascular system: a mystery unravels. Developmental Dynamics, Nov 2004. URL: https://doi.org/10.1002/dvdy.20179, doi:10.1002/dvdy.20179. This article has 123 citations and is from a peer-reviewed journal.</w:t>
      </w:r>
    </w:p>
    <w:p>
      <w:pPr>
        <w:numPr>
          <w:ilvl w:val="0"/>
          <w:numId w:val="1002"/>
        </w:numPr>
      </w:pPr>
      <w:r>
        <w:t xml:space="preserve">(zecchin2014reversibleacetylationregulates pages 172-176): Annalisa Zecchin, Lucia Pattarini, Maria Ines Gutierrez, Miguel Mano, Antonello Mai, Sergio Valente, Mike P. Myers, Sergio Pantano, and Mauro Giacca. Reversible acetylation regulates vascular endothelial growth factor receptor-2 activity. Journal of Molecular Cell Biology, 6:116-127, Mar 2014. URL: https://doi.org/10.1093/jmcb/mju010, doi:10.1093/jmcb/mju010. This article has 33 citations and is from a peer-reviewed journal.</w:t>
      </w:r>
    </w:p>
    <w:p>
      <w:pPr>
        <w:numPr>
          <w:ilvl w:val="0"/>
          <w:numId w:val="1002"/>
        </w:numPr>
      </w:pPr>
      <w:r>
        <w:t xml:space="preserve">(brunet2016wholegenomeduplications pages 7-7):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