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Kalirin (KALRN) is a member of the Trio protein family of Rho guanine nucleotide exchange factors (RhoGEFs) that is highly conserved among vertebrates. Orthologs of Kalirin are detectable across mammalian species, and its evolutionary lineage can be traced back to early metazoans. Gene duplication events in the bilaterian ancestor led to a dual‐GEF domain architecture that characterizes modern Trio family kinases, with Kalirin emerging as a vertebrate paralogue of Trio and sharing domain organizations with invertebrate homologs such as Drosophila Trio and Caenorhabditis elegans Unc‑73 (taciroglu2025variantimpactprediction pages 41-44, taciroglu2025variantimpactprediction pages 48-51). The evolution of the central DH–PH modules, which are responsible for Rho GTPase activation, reflects strong functional constraints; the N‑terminal DH–PH module preferentially regulates Rac1 and RhoG, while the C‑terminal module is associated with RhoA activation (taciroglu2025variantimpactprediction pages 44-46, taciroglu2025variantimpactprediction pages 46-48). Furthermore, phylogenetic analyses employing domain‐centric approaches have demonstrated that ancestral proteins, such as Mcf2, lie equidistant from both the Obscurin and Trio families, confirming the shared evolutionary origin of these catalytic modules (taciroglu2025variantimpactprediction pages 59-64, taciroglu2025variantimpactprediction pages 46-48).</w:t>
      </w:r>
    </w:p>
    <w:p>
      <w:pPr>
        <w:numPr>
          <w:ilvl w:val="0"/>
          <w:numId w:val="1001"/>
        </w:numPr>
      </w:pPr>
      <w:r>
        <w:t xml:space="preserve">Reaction Catalyzed</w:t>
      </w:r>
      <w:r>
        <w:br/>
      </w:r>
      <w:r>
        <w:t xml:space="preserve">Kalirin functions as a guanine nucleotide exchange factor that catalyzes the exchange of GDP for GTP on target Rho GTPases. In this reaction, the inactive GDP-bound Rho GTPase (e.g., Rac1, RhoG, and possibly RhoA) is converted into its active GTP-bound form. The overall reaction can be represented as follows: Rho GTPase·GDP + GTP → Rho GTPase·GTP + GDP. This nucleotide exchange reaction does not require ATP consumption for phosphorylation but rather relies on the displacement of GDP from the GTPase active site (youn2007kalirinisunderexpressed pages 12-13, kiraly2013characterizationofthe pages 199-205).</w:t>
      </w:r>
    </w:p>
    <w:p>
      <w:pPr>
        <w:numPr>
          <w:ilvl w:val="0"/>
          <w:numId w:val="1001"/>
        </w:numPr>
      </w:pPr>
      <w:r>
        <w:t xml:space="preserve">Cofactor Requirements</w:t>
      </w:r>
      <w:r>
        <w:br/>
      </w:r>
      <w:r>
        <w:t xml:space="preserve">The catalytic activity of Kalirin’s GEF domains requires the presence of divalent metal ions that stabilize nucleotide binding to the target GTPases. In particular, Mg²⁺ is essential for this process, as it helps coordinate the phosphate groups of both GDP and GTP during the exchange reaction. No additional cofactors have been reported to be necessary for Kalirin’s nucleotide exchange function (youn2007kalirinisunderexpressed pages 12-13).</w:t>
      </w:r>
    </w:p>
    <w:p>
      <w:pPr>
        <w:numPr>
          <w:ilvl w:val="0"/>
          <w:numId w:val="1001"/>
        </w:numPr>
      </w:pPr>
      <w:r>
        <w:t xml:space="preserve">Substrate Specificity</w:t>
      </w:r>
      <w:r>
        <w:br/>
      </w:r>
      <w:r>
        <w:t xml:space="preserve">Kalirin exhibits substrate specificity toward members of the Rho family of small GTPases. The N-terminal DH–PH tandem domain of Kalirin predominantly activates Rac1 and RhoG, while the C-terminal GEF domain is implicated in the regulation of RhoA. This specificity is mediated by the structural conformation of the DH domain, which recognizes the GDP-bound form of these GTPases and catalyzes their activation through GDP–GTP exchange. The selectivity for these substrates underpins Kalirin’s central role in orchestrating actin cytoskeletal dynamics (taciroglu2025variantimpactprediction pages 44-46, youn2007kalirinisunderexpressed pages 12-13).</w:t>
      </w:r>
    </w:p>
    <w:p>
      <w:pPr>
        <w:numPr>
          <w:ilvl w:val="0"/>
          <w:numId w:val="1001"/>
        </w:numPr>
      </w:pPr>
      <w:r>
        <w:t xml:space="preserve">Structure</w:t>
      </w:r>
      <w:r>
        <w:br/>
      </w:r>
      <w:r>
        <w:t xml:space="preserve">Kalirin is a multidomain protein with a complex structural organization that underlies its multifaceted functions in neuronal signaling. Its domain architecture includes:</w:t>
      </w:r>
      <w:r>
        <w:br/>
      </w:r>
      <w:r>
        <w:t xml:space="preserve"> • An N-terminal Sec14p domain that is involved in phospholipid binding and may contribute to membrane association.</w:t>
      </w:r>
      <w:r>
        <w:br/>
      </w:r>
      <w:r>
        <w:t xml:space="preserve"> • Multiple spectrin-like repeats that not only provide a scaffold for protein–protein interactions but also offer flexibility and mediate intramolecular regulatory interactions.</w:t>
      </w:r>
      <w:r>
        <w:br/>
      </w:r>
      <w:r>
        <w:t xml:space="preserve"> • A catalytic core composed of tandem Dbl homology (DH) and Pleckstrin homology (PH) domains. The DH domain is the active site that catalyzes the nucleotide exchange on Rho GTPases, while the adjacent PH domain contributes to membrane localization and modulates catalytic activity through allosteric mechanisms.</w:t>
      </w:r>
      <w:r>
        <w:br/>
      </w:r>
      <w:r>
        <w:t xml:space="preserve"> • A C-terminal region containing a PDZ-binding motif, which facilitates the interaction with postsynaptic density proteins such as PSD-95 and other scaffold molecules, thereby targeting Kalirin to specific subcellular compartments.</w:t>
      </w:r>
    </w:p>
    <w:p>
      <w:pPr>
        <w:pStyle w:val="FirstParagraph"/>
      </w:pPr>
      <w:r>
        <w:t xml:space="preserve">Experimental studies and structural modeling, including comparisons with AlphaFold predictions for similar Trio family members, have confirmed that these domains are arranged in a manner that supports both catalytic efficiency and regulatory complexity. Key catalytic features include a well-structured activation loop within the DH domain and a properly oriented C-helix essential for substrate engagement. The modular assembly of these domains not only ensures precise control over its GEF activity but also enables Kalirin to function as a signaling hub at the postsynaptic density (kiraly2013characterizationofthe pages 173-178, kiraly2013characterizationofthe pages 183-188, leipe2003evolutionandclassification pages 27-28).</w:t>
      </w:r>
    </w:p>
    <w:p>
      <w:pPr>
        <w:numPr>
          <w:ilvl w:val="0"/>
          <w:numId w:val="1002"/>
        </w:numPr>
      </w:pPr>
      <w:r>
        <w:t xml:space="preserve">Regulation</w:t>
      </w:r>
      <w:r>
        <w:br/>
      </w:r>
      <w:r>
        <w:t xml:space="preserve">Kalirin activity is finely controlled through multiple regulatory mechanisms that ensure proper spatial and temporal signaling. Major regulatory modalities include:</w:t>
      </w:r>
      <w:r>
        <w:br/>
      </w:r>
      <w:r>
        <w:t xml:space="preserve"> • Phosphorylation: Kalirin is extensively phosphorylated by several kinases, including CaMKII, PKA, PKC, CKII, Cdk5, and Fyn. Phosphorylation sites have been localized to various domains of the protein such as the Sec14p domain, spectrin repeats, and the PH domain. These modifications modulate both its GEF activity and its interactions with other synaptic proteins, influencing dendritic spine morphology and synaptic transmission (kiraly2013characterizationofthe pages 173-178, kiraly2013characterizationofthe pages 199-205).</w:t>
      </w:r>
      <w:r>
        <w:br/>
      </w:r>
      <w:r>
        <w:t xml:space="preserve"> • Alternative Splicing: The KALRN gene undergoes extensive alternative splicing, giving rise to multiple protein isoforms (e.g., Kalirin-7, Kalirin-9, and Kalirin-12) that differ in their C-terminal domains and regulatory capacities. Isoform-specific differences contribute to diverse cellular functions and regional expression patterns within the brain (taciroglu2025variantimpactprediction pages 151-154, kiraly2013characterizationofthe pages 157-163).</w:t>
      </w:r>
      <w:r>
        <w:br/>
      </w:r>
      <w:r>
        <w:t xml:space="preserve"> • Protein–Protein Interactions: The C-terminal PDZ-binding motif enables Kalirin to interact with postsynaptic scaffold proteins, thereby localizing it to the postsynaptic densities where it participates in synaptic signaling pathways. Additionally, interactions with other signaling proteins such as AF-6 and DISC1 further modulate its function (kiraly2013characterizationofthe pages 183-188, kiraly2013characterizationofthe pages 157-163).</w:t>
      </w:r>
    </w:p>
    <w:p>
      <w:pPr>
        <w:numPr>
          <w:ilvl w:val="0"/>
          <w:numId w:val="1002"/>
        </w:numPr>
      </w:pPr>
      <w:r>
        <w:t xml:space="preserve">Function</w:t>
      </w:r>
      <w:r>
        <w:br/>
      </w:r>
      <w:r>
        <w:t xml:space="preserve">Kalirin plays a pivotal role in the regulation of neuronal structure and synaptic function. Its primary functions include:</w:t>
      </w:r>
      <w:r>
        <w:br/>
      </w:r>
      <w:r>
        <w:t xml:space="preserve"> • Activation of Rho GTPases: Through its GEF activity, Kalirin catalyzes the exchange of GDP for GTP on small Rho GTPases like Rac1, RhoG, and possibly RhoA. This molecular switch triggers downstream signaling cascades that drive actin cytoskeleton reorganization, which is critical for dendritic spine formation, neurite outgrowth, and lamellipodia formation (youn2007kalirinisunderexpressed pages 12-13, taciroglu2025variantimpactprediction pages 44-46).</w:t>
      </w:r>
      <w:r>
        <w:br/>
      </w:r>
      <w:r>
        <w:t xml:space="preserve"> • Regulation of Synaptic Plasticity: Predominantly expressed in the hippocampus and other brain regions, Kalirin is central to the development and maintenance of synaptic structures. Its activity modulates synaptic strength and plasticity by altering spine morphology and the composition of postsynaptic signaling complexes, thereby impacting cognitive processes such as learning and memory (kiraly2013characterizationofthe pages 157-163, youn2007kalirinisunderexpressed pages 7-9).</w:t>
      </w:r>
      <w:r>
        <w:br/>
      </w:r>
      <w:r>
        <w:t xml:space="preserve"> • Dual-function Mechanism: In addition to its role as a GEF, Kalirin has been shown to induce lamellipodia formation independent of its nucleotide exchange activity, highlighting additional non-catalytic roles in regulating cell shape and motility (Information).</w:t>
      </w:r>
      <w:r>
        <w:br/>
      </w:r>
      <w:r>
        <w:t xml:space="preserve"> • Disease Associations: Alterations in Kalirin expression—such as the significant under-expression observed in the hippocampus of Alzheimer’s disease patients—underscore its importance in maintaining neuronal integrity and suggest a role in neurodegenerative pathologies (youn2007kalirinisunderexpressed pages 1-2, youn2007kalirinisunderexpressed pages 7-9).</w:t>
      </w:r>
    </w:p>
    <w:p>
      <w:pPr>
        <w:numPr>
          <w:ilvl w:val="0"/>
          <w:numId w:val="1002"/>
        </w:numPr>
      </w:pPr>
      <w:r>
        <w:t xml:space="preserve">Other Comments</w:t>
      </w:r>
      <w:r>
        <w:br/>
      </w:r>
      <w:r>
        <w:t xml:space="preserve">Kalirin is also known by alternative names including Huntingtin‑associated protein‑interacting protein, Protein Duo, and TRAD. Its complex isoform diversity, resulting from alternative splicing, provides a versatile framework for differential regulation in distinct neuronal subpopulations. While there are currently no highly specific inhibitors directed solely at Kalirin, its identification as a critical regulatory node in synaptic signaling has spurred interest in targeting its GEF activity for therapeutic intervention in neurological and psychiatric disorders. Moreover, disease-associated mutations and alterations in Kalirin expression have been documented in conditions such as Alzheimer’s disease, schizophrenia, and certain vascular disorders. The dual functionality of Kalirin—encompassing both GEF catalytic activity and non‑GEF mediated lamellipodia induction—further broadens its relevance as a potential biomarker and therapeutic target (taciroglu2025variantimpactprediction pages 151-154, kiraly2013characterizationofthe pages 157-163, youn2007kalirinisunderexpressed pages 7-9).</w:t>
      </w:r>
    </w:p>
    <w:p>
      <w:pPr>
        <w:numPr>
          <w:ilvl w:val="0"/>
          <w:numId w:val="1002"/>
        </w:numPr>
      </w:pPr>
      <w:r>
        <w:t xml:space="preserve">References</w:t>
      </w:r>
      <w:r>
        <w:br/>
      </w:r>
      <w:r>
        <w:t xml:space="preserve">• taciroglu2025variantimpactprediction pages 41-44</w:t>
      </w:r>
      <w:r>
        <w:br/>
      </w:r>
      <w:r>
        <w:t xml:space="preserve">• taciroglu2025variantimpactprediction pages 44-46</w:t>
      </w:r>
      <w:r>
        <w:br/>
      </w:r>
      <w:r>
        <w:t xml:space="preserve">• taciroglu2025variantimpactprediction pages 46-48</w:t>
      </w:r>
      <w:r>
        <w:br/>
      </w:r>
      <w:r>
        <w:t xml:space="preserve">• taciroglu2025variantimpactprediction pages 48-51</w:t>
      </w:r>
      <w:r>
        <w:br/>
      </w:r>
      <w:r>
        <w:t xml:space="preserve">• taciroglu2025variantimpactprediction pages 59-64</w:t>
      </w:r>
      <w:r>
        <w:br/>
      </w:r>
      <w:r>
        <w:t xml:space="preserve">• taciroglu2025variantimpactprediction pages 151-154</w:t>
      </w:r>
      <w:r>
        <w:br/>
      </w:r>
      <w:r>
        <w:t xml:space="preserve">• taciroglu2025variantimpactprediction pages 171-175</w:t>
      </w:r>
      <w:r>
        <w:br/>
      </w:r>
      <w:r>
        <w:t xml:space="preserve">• taciroglu2025variantimpactprediction pages 123-128</w:t>
      </w:r>
      <w:r>
        <w:br/>
      </w:r>
      <w:r>
        <w:t xml:space="preserve">• youn2007kalirinisunderexpressed pages 1-2</w:t>
      </w:r>
      <w:r>
        <w:br/>
      </w:r>
      <w:r>
        <w:t xml:space="preserve">• youn2007kalirinisunderexpressed pages 7-9</w:t>
      </w:r>
      <w:r>
        <w:br/>
      </w:r>
      <w:r>
        <w:t xml:space="preserve">• youn2007kalirinisunderexpressed pages 11-12</w:t>
      </w:r>
      <w:r>
        <w:br/>
      </w:r>
      <w:r>
        <w:t xml:space="preserve">• youn2007kalirinisunderexpressed pages 12-13</w:t>
      </w:r>
      <w:r>
        <w:br/>
      </w:r>
      <w:r>
        <w:t xml:space="preserve">• kiraly2013characterizationofthe pages 157-163</w:t>
      </w:r>
      <w:r>
        <w:br/>
      </w:r>
      <w:r>
        <w:t xml:space="preserve">• kiraly2013characterizationofthe pages 163-168</w:t>
      </w:r>
      <w:r>
        <w:br/>
      </w:r>
      <w:r>
        <w:t xml:space="preserve">• kiraly2013characterizationofthe pages 173-178</w:t>
      </w:r>
      <w:r>
        <w:br/>
      </w:r>
      <w:r>
        <w:t xml:space="preserve">• kiraly2013characterizationofthe pages 183-188</w:t>
      </w:r>
      <w:r>
        <w:br/>
      </w:r>
      <w:r>
        <w:t xml:space="preserve">• kiraly2013characterizationofthe pages 188-193</w:t>
      </w:r>
      <w:r>
        <w:br/>
      </w:r>
      <w:r>
        <w:t xml:space="preserve">• kiraly2013characterizationofthe pages 193-199</w:t>
      </w:r>
      <w:r>
        <w:br/>
      </w:r>
      <w:r>
        <w:t xml:space="preserve">• kiraly2013characterizationofthe pages 199-205</w:t>
      </w:r>
      <w:r>
        <w:br/>
      </w:r>
      <w:r>
        <w:t xml:space="preserve">• kiraly2013characterizationofthe pages 51-57</w:t>
      </w:r>
      <w:r>
        <w:br/>
      </w:r>
      <w:r>
        <w:t xml:space="preserve">• kiraly2013characterizationofthe pages 77-82</w:t>
      </w:r>
      <w:r>
        <w:br/>
      </w:r>
      <w:r>
        <w:t xml:space="preserve">• schmidt2014functionandregulation pages 2-3</w:t>
      </w:r>
      <w:r>
        <w:br/>
      </w:r>
      <w:r>
        <w:t xml:space="preserve">• schmidt2014functionandregulation pages 3-4</w:t>
      </w:r>
      <w:r>
        <w:br/>
      </w:r>
      <w:r>
        <w:t xml:space="preserve">• schmidt2014functionandregulation pages 4-5</w:t>
      </w:r>
      <w:r>
        <w:br/>
      </w:r>
      <w:r>
        <w:t xml:space="preserve">• leipe2003evolutionandclassification pages 27-28</w:t>
      </w:r>
      <w:r>
        <w:br/>
      </w:r>
      <w:r>
        <w:t xml:space="preserve">• leipe2003evolutionandclassification pages 1-2</w:t>
      </w:r>
      <w:r>
        <w:br/>
      </w:r>
      <w:r>
        <w:t xml:space="preserve">• leipe2003evolutionandclassification pages 4-6</w:t>
      </w:r>
      <w:r>
        <w:br/>
      </w:r>
      <w:r>
        <w:t xml:space="preserve">• leipe2003evolutionandclassification pages 9-12</w:t>
      </w:r>
    </w:p>
    <w:p>
      <w:pPr>
        <w:pStyle w:val="FirstParagraph"/>
      </w:pPr>
      <w:r>
        <w:t xml:space="preserve">References</w:t>
      </w:r>
    </w:p>
    <w:p>
      <w:pPr>
        <w:numPr>
          <w:ilvl w:val="0"/>
          <w:numId w:val="1003"/>
        </w:numPr>
      </w:pPr>
      <w:r>
        <w:t xml:space="preserve">(taciroglu2025variantimpactprediction pages 41-44): A Taciroğlu. Variant impact prediction in the obscurin and trio protein families through evolutionary conservation and structural analysis. Unknown journal, 2025.</w:t>
      </w:r>
    </w:p>
    <w:p>
      <w:pPr>
        <w:numPr>
          <w:ilvl w:val="0"/>
          <w:numId w:val="1003"/>
        </w:numPr>
      </w:pPr>
      <w:r>
        <w:t xml:space="preserve">(kiraly2013characterizationofthe pages 157-163): DD Kiraly. Characterization of the rho-gef kalirin-7 in the mouse brain: evidence for a role in learning and addictive-like behaviors, as well as neuronal morphology and …. Unknown journal, 2013.</w:t>
      </w:r>
    </w:p>
    <w:p>
      <w:pPr>
        <w:numPr>
          <w:ilvl w:val="0"/>
          <w:numId w:val="1003"/>
        </w:numPr>
      </w:pPr>
      <w:r>
        <w:t xml:space="preserve">(kiraly2013characterizationofthe pages 163-168): DD Kiraly. Characterization of the rho-gef kalirin-7 in the mouse brain: evidence for a role in learning and addictive-like behaviors, as well as neuronal morphology and …. Unknown journal, 2013.</w:t>
      </w:r>
    </w:p>
    <w:p>
      <w:pPr>
        <w:numPr>
          <w:ilvl w:val="0"/>
          <w:numId w:val="1003"/>
        </w:numPr>
      </w:pPr>
      <w:r>
        <w:t xml:space="preserve">(kiraly2013characterizationofthe pages 173-178): DD Kiraly. Characterization of the rho-gef kalirin-7 in the mouse brain: evidence for a role in learning and addictive-like behaviors, as well as neuronal morphology and …. Unknown journal, 2013.</w:t>
      </w:r>
    </w:p>
    <w:p>
      <w:pPr>
        <w:numPr>
          <w:ilvl w:val="0"/>
          <w:numId w:val="1003"/>
        </w:numPr>
      </w:pPr>
      <w:r>
        <w:t xml:space="preserve">(kiraly2013characterizationofthe pages 183-188): DD Kiraly. Characterization of the rho-gef kalirin-7 in the mouse brain: evidence for a role in learning and addictive-like behaviors, as well as neuronal morphology and …. Unknown journal, 2013.</w:t>
      </w:r>
    </w:p>
    <w:p>
      <w:pPr>
        <w:numPr>
          <w:ilvl w:val="0"/>
          <w:numId w:val="1003"/>
        </w:numPr>
      </w:pPr>
      <w:r>
        <w:t xml:space="preserve">(kiraly2013characterizationofthe pages 188-193): DD Kiraly. Characterization of the rho-gef kalirin-7 in the mouse brain: evidence for a role in learning and addictive-like behaviors, as well as neuronal morphology and …. Unknown journal, 2013.</w:t>
      </w:r>
    </w:p>
    <w:p>
      <w:pPr>
        <w:numPr>
          <w:ilvl w:val="0"/>
          <w:numId w:val="1003"/>
        </w:numPr>
      </w:pPr>
      <w:r>
        <w:t xml:space="preserve">(kiraly2013characterizationofthe pages 193-199): DD Kiraly. Characterization of the rho-gef kalirin-7 in the mouse brain: evidence for a role in learning and addictive-like behaviors, as well as neuronal morphology and …. Unknown journal, 2013.</w:t>
      </w:r>
    </w:p>
    <w:p>
      <w:pPr>
        <w:numPr>
          <w:ilvl w:val="0"/>
          <w:numId w:val="1003"/>
        </w:numPr>
      </w:pPr>
      <w:r>
        <w:t xml:space="preserve">(kiraly2013characterizationofthe pages 199-205): DD Kiraly. Characterization of the rho-gef kalirin-7 in the mouse brain: evidence for a role in learning and addictive-like behaviors, as well as neuronal morphology and …. Unknown journal, 2013.</w:t>
      </w:r>
    </w:p>
    <w:p>
      <w:pPr>
        <w:numPr>
          <w:ilvl w:val="0"/>
          <w:numId w:val="1003"/>
        </w:numPr>
      </w:pPr>
      <w:r>
        <w:t xml:space="preserve">(kiraly2013characterizationofthe pages 51-57): DD Kiraly. Characterization of the rho-gef kalirin-7 in the mouse brain: evidence for a role in learning and addictive-like behaviors, as well as neuronal morphology and …. Unknown journal, 2013.</w:t>
      </w:r>
    </w:p>
    <w:p>
      <w:pPr>
        <w:numPr>
          <w:ilvl w:val="0"/>
          <w:numId w:val="1003"/>
        </w:numPr>
      </w:pPr>
      <w:r>
        <w:t xml:space="preserve">(schmidt2014functionandregulation pages 2-3): Susanne Schmidt and Anne Debant. Function and regulation of the rho guanine nucleotide exchange factor trio. Small GTPases, 5:e983880, Oct 2014. URL: https://doi.org/10.4161/sgtp.29769, doi:10.4161/sgtp.29769. This article has 113 citations and is from a peer-reviewed journal.</w:t>
      </w:r>
    </w:p>
    <w:p>
      <w:pPr>
        <w:numPr>
          <w:ilvl w:val="0"/>
          <w:numId w:val="1003"/>
        </w:numPr>
      </w:pPr>
      <w:r>
        <w:t xml:space="preserve">(schmidt2014functionandregulation pages 3-4): Susanne Schmidt and Anne Debant. Function and regulation of the rho guanine nucleotide exchange factor trio. Small GTPases, 5:e983880, Oct 2014. URL: https://doi.org/10.4161/sgtp.29769, doi:10.4161/sgtp.29769. This article has 113 citations and is from a peer-reviewed journal.</w:t>
      </w:r>
    </w:p>
    <w:p>
      <w:pPr>
        <w:numPr>
          <w:ilvl w:val="0"/>
          <w:numId w:val="1003"/>
        </w:numPr>
      </w:pPr>
      <w:r>
        <w:t xml:space="preserve">(taciroglu2025variantimpactprediction pages 151-154): A Taciroğlu. Variant impact prediction in the obscurin and trio protein families through evolutionary conservation and structural analysis. Unknown journal, 2025.</w:t>
      </w:r>
    </w:p>
    <w:p>
      <w:pPr>
        <w:numPr>
          <w:ilvl w:val="0"/>
          <w:numId w:val="1003"/>
        </w:numPr>
      </w:pPr>
      <w:r>
        <w:t xml:space="preserve">(taciroglu2025variantimpactprediction pages 44-46): A Taciroğlu. Variant impact prediction in the obscurin and trio protein families through evolutionary conservation and structural analysis. Unknown journal, 2025.</w:t>
      </w:r>
    </w:p>
    <w:p>
      <w:pPr>
        <w:numPr>
          <w:ilvl w:val="0"/>
          <w:numId w:val="1003"/>
        </w:numPr>
      </w:pPr>
      <w:r>
        <w:t xml:space="preserve">(taciroglu2025variantimpactprediction pages 48-51): A Taciroğlu. Variant impact prediction in the obscurin and trio protein families through evolutionary conservation and structural analysis. Unknown journal, 2025.</w:t>
      </w:r>
    </w:p>
    <w:p>
      <w:pPr>
        <w:numPr>
          <w:ilvl w:val="0"/>
          <w:numId w:val="1003"/>
        </w:numPr>
      </w:pPr>
      <w:r>
        <w:t xml:space="preserve">(taciroglu2025variantimpactprediction pages 59-64): A Taciroğlu. Variant impact prediction in the obscurin and trio protein families through evolutionary conservation and structural analysis. Unknown journal, 2025.</w:t>
      </w:r>
    </w:p>
    <w:p>
      <w:pPr>
        <w:numPr>
          <w:ilvl w:val="0"/>
          <w:numId w:val="1003"/>
        </w:numPr>
      </w:pPr>
      <w:r>
        <w:t xml:space="preserve">(youn2007kalirinisunderexpressed pages 1-2): HyeSook Youn, MyoungKun Jeoung, YongBum Koo, Hanlee Ji, William R. Markesbery, Inhae Ji, and Tae H. Ji. Kalirin is under-expressed in alzheimer’s disease hippocampus. Journal of Alzheimer’s Disease, 11:385-397, May 2007. URL: https://doi.org/10.3233/jad-2007-11314, doi:10.3233/jad-2007-11314. This article has 88 citations and is from a peer-reviewed journal.</w:t>
      </w:r>
    </w:p>
    <w:p>
      <w:pPr>
        <w:numPr>
          <w:ilvl w:val="0"/>
          <w:numId w:val="1003"/>
        </w:numPr>
      </w:pPr>
      <w:r>
        <w:t xml:space="preserve">(youn2007kalirinisunderexpressed pages 11-12): HyeSook Youn, MyoungKun Jeoung, YongBum Koo, Hanlee Ji, William R. Markesbery, Inhae Ji, and Tae H. Ji. Kalirin is under-expressed in alzheimer’s disease hippocampus. Journal of Alzheimer’s Disease, 11:385-397, May 2007. URL: https://doi.org/10.3233/jad-2007-11314, doi:10.3233/jad-2007-11314. This article has 88 citations and is from a peer-reviewed journal.</w:t>
      </w:r>
    </w:p>
    <w:p>
      <w:pPr>
        <w:numPr>
          <w:ilvl w:val="0"/>
          <w:numId w:val="1003"/>
        </w:numPr>
      </w:pPr>
      <w:r>
        <w:t xml:space="preserve">(youn2007kalirinisunderexpressed pages 12-13): HyeSook Youn, MyoungKun Jeoung, YongBum Koo, Hanlee Ji, William R. Markesbery, Inhae Ji, and Tae H. Ji. Kalirin is under-expressed in alzheimer’s disease hippocampus. Journal of Alzheimer’s Disease, 11:385-397, May 2007. URL: https://doi.org/10.3233/jad-2007-11314, doi:10.3233/jad-2007-11314. This article has 88 citations and is from a peer-reviewed journal.</w:t>
      </w:r>
    </w:p>
    <w:p>
      <w:pPr>
        <w:numPr>
          <w:ilvl w:val="0"/>
          <w:numId w:val="1003"/>
        </w:numPr>
      </w:pPr>
      <w:r>
        <w:t xml:space="preserve">(youn2007kalirinisunderexpressed pages 7-9): HyeSook Youn, MyoungKun Jeoung, YongBum Koo, Hanlee Ji, William R. Markesbery, Inhae Ji, and Tae H. Ji. Kalirin is under-expressed in alzheimer’s disease hippocampus. Journal of Alzheimer’s Disease, 11:385-397, May 2007. URL: https://doi.org/10.3233/jad-2007-11314, doi:10.3233/jad-2007-11314. This article has 88 citations and is from a peer-reviewed journal.</w:t>
      </w:r>
    </w:p>
    <w:p>
      <w:pPr>
        <w:numPr>
          <w:ilvl w:val="0"/>
          <w:numId w:val="1003"/>
        </w:numPr>
      </w:pPr>
      <w:r>
        <w:t xml:space="preserve">(leipe2003evolutionandclassification pages 1-2): Detlef D. Leipe, Eugene V. Koonin, and L. Aravind. Evolution and classification of p-loop kinases and related proteins. Journal of Molecular Biology, 333:781-815, Oct 2003. URL: https://doi.org/10.1016/j.jmb.2003.08.040, doi:10.1016/j.jmb.2003.08.040. This article has 391 citations and is from a domain leading peer-reviewed journal.</w:t>
      </w:r>
    </w:p>
    <w:p>
      <w:pPr>
        <w:numPr>
          <w:ilvl w:val="0"/>
          <w:numId w:val="1003"/>
        </w:numPr>
      </w:pPr>
      <w:r>
        <w:t xml:space="preserve">(schmidt2014functionandregulation pages 4-5): Susanne Schmidt and Anne Debant. Function and regulation of the rho guanine nucleotide exchange factor trio. Small GTPases, 5:e983880, Oct 2014. URL: https://doi.org/10.4161/sgtp.29769, doi:10.4161/sgtp.29769. This article has 113 citations and is from a peer-reviewed journal.</w:t>
      </w:r>
    </w:p>
    <w:p>
      <w:pPr>
        <w:numPr>
          <w:ilvl w:val="0"/>
          <w:numId w:val="1003"/>
        </w:numPr>
      </w:pPr>
      <w:r>
        <w:t xml:space="preserve">(taciroglu2025variantimpactprediction pages 123-128): A Taciroğlu. Variant impact prediction in the obscurin and trio protein families through evolutionary conservation and structural analysis. Unknown journal, 2025.</w:t>
      </w:r>
    </w:p>
    <w:p>
      <w:pPr>
        <w:numPr>
          <w:ilvl w:val="0"/>
          <w:numId w:val="1003"/>
        </w:numPr>
      </w:pPr>
      <w:r>
        <w:t xml:space="preserve">(taciroglu2025variantimpactprediction pages 171-175): A Taciroğlu. Variant impact prediction in the obscurin and trio protein families through evolutionary conservation and structural analysis. Unknown journal, 2025.</w:t>
      </w:r>
    </w:p>
    <w:p>
      <w:pPr>
        <w:numPr>
          <w:ilvl w:val="0"/>
          <w:numId w:val="1003"/>
        </w:numPr>
      </w:pPr>
      <w:r>
        <w:t xml:space="preserve">(taciroglu2025variantimpactprediction pages 46-48): A Taciroğlu. Variant impact prediction in the obscurin and trio protein families through evolutionary conservation and structural analysis. Unknown journal, 2025.</w:t>
      </w:r>
    </w:p>
    <w:p>
      <w:pPr>
        <w:numPr>
          <w:ilvl w:val="0"/>
          <w:numId w:val="1003"/>
        </w:numPr>
      </w:pPr>
      <w:r>
        <w:t xml:space="preserve">(kiraly2013characterizationofthe pages 77-82): DD Kiraly. Characterization of the rho-gef kalirin-7 in the mouse brain: evidence for a role in learning and addictive-like behaviors, as well as neuronal morphology and …. Unknown journal, 2013.</w:t>
      </w:r>
    </w:p>
    <w:p>
      <w:pPr>
        <w:numPr>
          <w:ilvl w:val="0"/>
          <w:numId w:val="1003"/>
        </w:numPr>
      </w:pPr>
      <w:r>
        <w:t xml:space="preserve">(leipe2003evolutionandclassification pages 27-28): Detlef D. Leipe, Eugene V. Koonin, and L. Aravind. Evolution and classification of p-loop kinases and related proteins. Journal of Molecular Biology, 333:781-815, Oct 2003. URL: https://doi.org/10.1016/j.jmb.2003.08.040, doi:10.1016/j.jmb.2003.08.040. This article has 391 citations and is from a domain leading peer-reviewed journal.</w:t>
      </w:r>
    </w:p>
    <w:p>
      <w:pPr>
        <w:numPr>
          <w:ilvl w:val="0"/>
          <w:numId w:val="1003"/>
        </w:numPr>
      </w:pPr>
      <w:r>
        <w:t xml:space="preserve">(leipe2003evolutionandclassification pages 4-6): Detlef D. Leipe, Eugene V. Koonin, and L. Aravind. Evolution and classification of p-loop kinases and related proteins. Journal of Molecular Biology, 333:781-815, Oct 2003. URL: https://doi.org/10.1016/j.jmb.2003.08.040, doi:10.1016/j.jmb.2003.08.040. This article has 391 citations and is from a domain leading peer-reviewed journal.</w:t>
      </w:r>
    </w:p>
    <w:p>
      <w:pPr>
        <w:numPr>
          <w:ilvl w:val="0"/>
          <w:numId w:val="1003"/>
        </w:numPr>
      </w:pPr>
      <w:r>
        <w:t xml:space="preserve">(leipe2003evolutionandclassification pages 9-12): Detlef D. Leipe, Eugene V. Koonin, and L. Aravind. Evolution and classification of p-loop kinases and related proteins. Journal of Molecular Biology, 333:781-815, Oct 2003. URL: https://doi.org/10.1016/j.jmb.2003.08.040, doi:10.1016/j.jmb.2003.08.040. This article has 391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