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MAPK6, also known as ERK3, is classified as an atypical mitogen‐activated protein kinase that belongs to a distinct subfamily of MAP kinases found exclusively in vertebrates (kultz1998phylogeneticandfunctional pages 5-9). It shares approximately 73% amino acid identity in its kinase domain with its closest relative, ERK4, indicating a common ancestry through a gene duplication event that gave rise to a separate subgroup within the MAPK family (coulombe2007atypicalmitogenactivatedprotein pages 2-4). Evolutionary analyses place ERK3 alongside other MAPKs in which the canonical dual‐phosphorylation motif (TXY) is absent, instead possessing a single phosphoacceptor motif (SEG) that distinguishes its regulatory mechanism from conventional MAPKs (kultz1998phylogeneticandfunctional pages 1-2). Its restricted orthology, with no counterparts reported in invertebrates or plants, underscores its vertebrate-specific role in cellular signaling (kultz1998phylogeneticandfunctional pages 13-14). The phylogenetic context is further supported by large-scale studies of the human kinome that outline its evolution from a common ancestral kinase present in early eukaryotes, with subsequent divergence to perform specialized functions distinct from those of classical ERKs (cargnello2011activationandfunction pages 1-1).</w:t>
      </w:r>
    </w:p>
    <w:p>
      <w:pPr>
        <w:numPr>
          <w:ilvl w:val="0"/>
          <w:numId w:val="1001"/>
        </w:numPr>
      </w:pPr>
      <w:r>
        <w:t xml:space="preserve">Reaction Catalyzed</w:t>
      </w:r>
      <w:r>
        <w:br/>
      </w:r>
      <w:r>
        <w:t xml:space="preserve">MAPK6/ERK3 catalyzes the transfer of a phosphate group from ATP to substrate proteins containing serine/threonine residues. The chemical reaction can be represented as: ATP + [protein] → ADP + [protein]-phosphorylated + H⁺ (template). This phosphorylation reaction is typical of serine/threonine kinases and forms the basis for its role in modulating downstream signaling events (coulombe2007atypicalmitogenactivatedprotein pages 1-2).</w:t>
      </w:r>
    </w:p>
    <w:p>
      <w:pPr>
        <w:numPr>
          <w:ilvl w:val="0"/>
          <w:numId w:val="1001"/>
        </w:numPr>
      </w:pPr>
      <w:r>
        <w:t xml:space="preserve">Cofactor Requirements</w:t>
      </w:r>
      <w:r>
        <w:br/>
      </w:r>
      <w:r>
        <w:t xml:space="preserve">The catalytic activity of MAPK6/ERK3 depends on the presence of divalent cations, with magnesium (Mg²⁺) being a required cofactor for its kinase activity (template). This requirement facilitates the binding of ATP and proper positioning within the active site during the phosphorylation reaction (coulombe2007atypicalmitogenactivatedprotein pages 1-2).</w:t>
      </w:r>
    </w:p>
    <w:p>
      <w:pPr>
        <w:numPr>
          <w:ilvl w:val="0"/>
          <w:numId w:val="1001"/>
        </w:numPr>
      </w:pPr>
      <w:r>
        <w:t xml:space="preserve">Substrate Specificity</w:t>
      </w:r>
      <w:r>
        <w:br/>
      </w:r>
      <w:r>
        <w:t xml:space="preserve">MAPK6/ERK3 displays a narrow substrate specificity relative to classical MAPKs. It has been shown to phosphorylate microtubule-associated protein 2 (MAP2) and the MAP kinase-activated protein kinase 5 (MK5), with the latter interaction involving a complex set of reciprocal phosphorylation events (Information section). The kinase activity of ERK3 involves phosphorylation at serine 189 within its atypical SEG activation motif and the subsequent activation of MK5 through phosphorylation at its activation loop residue, a process that is further coupled with a feedback loop wherein MK5 phosphorylates ERK3 (elkhadragy2024roleofthe pages 2-4). Although detailed consensus substrate motifs have not been comprehensively defined in the literature, the available data indicate that ERK3 preferentially targets substrates requiring phosphorylation on serine/threonine residues within non-canonical sequence contexts (cargnello2011activationandfunction pages 8-9).</w:t>
      </w:r>
    </w:p>
    <w:p>
      <w:pPr>
        <w:numPr>
          <w:ilvl w:val="0"/>
          <w:numId w:val="1001"/>
        </w:numPr>
      </w:pPr>
      <w:r>
        <w:t xml:space="preserve">Structure</w:t>
      </w:r>
      <w:r>
        <w:br/>
      </w:r>
      <w:r>
        <w:t xml:space="preserve">MAPK6/ERK3 is a 721-amino acid protein featuring a distinct domain organization. The N-terminal region incorporates a kinase domain that shows roughly 45–50% sequence homology with conventional ERKs, yet it is distinguished by the presence of a single phosphoacceptor serine within the SEG activation motif instead of the typical TXY motif found in classical MAPKs (coulombe2007atypicalmitogenactivatedprotein pages 2-4). Adjacent to this kinase domain is a conserved C34 domain which is shared with ERK4, suggesting a role in mediating protein–protein interactions and possibly influencing subcellular localization (elkhadragy2024roleofthe pages 1-2). The C-terminal region is unusually long compared to classical MAPKs and is enriched in multiple phosphorylation sites that contribute to the regulation of its catalytic activity and turnover (schumacher2004scaffoldingbyerk3 pages 1-2). Structural studies based on crystallography and homology models, as reported for related atypical MAPKs, have identified key catalytic features such as the catalytic loop, the activation segment containing the SEG motif (with Ser189 being crucial), the hydrophobic regulatory spine, and a conserved C-helix (schroder2020crystalstructureand pages 1-3). In addition, the presence of an atypical SRP (serine–arginine–proline) motif in lieu of the canonical APE motif in subdomain VIII further contributes to its unique structural and functional properties (coulombe2007atypicalmitogenactivatedprotein pages 2-4). These unique structural features underscore the divergence of ERK3 from conventional MAPKs and provide the structural basis for its atypical regulation and substrate interactions (schroder2020crystalstructureand pages 10-12).</w:t>
      </w:r>
    </w:p>
    <w:p>
      <w:pPr>
        <w:numPr>
          <w:ilvl w:val="0"/>
          <w:numId w:val="1001"/>
        </w:numPr>
      </w:pPr>
      <w:r>
        <w:t xml:space="preserve">Regulation</w:t>
      </w:r>
      <w:r>
        <w:br/>
      </w:r>
      <w:r>
        <w:t xml:space="preserve">The regulation of MAPK6/ERK3 occurs primarily through non-canonical mechanisms that involve both phosphorylation and protein turnover. A critical regulatory event is the phosphorylation of the activation loop at serine 189, which can occur via autophosphorylation or through the action of group I p21-activated kinases (PAKs) (elkhadragy2024roleofthe pages 15-16). This phosphorylation event is essential for the subsequent formation of a signaling complex with MAPKAPK5 (MK5), whereby ERK3 and MK5 undergo reciprocal phosphorylation events that modulate their respective activities (elkhadragy2024roleofthe pages 2-4, seternes2004activationofmk5prak pages 11-12). In addition to phosphorylation, ERK3 regulation is also achieved at the level of protein stability using ubiquitin-proteasome pathways, although detailed ubiquitination mechanisms are more extensively described in other atypical MAPKs (schumacher2004scaffoldingbyerk3 pages 1-2, coulombe2007atypicalmitogenactivatedprotein pages 10-11). Nuclear export signals (NES) within its structure contribute to its dynamic nucleocytoplasmic shuttling and thereby influence its access to substrates (schumacher2004scaffoldingbyerk3 pages 1-2). These regulatory mechanisms ensure that the kinase activity of ERK3 is tightly moderated, allowing precise control over the phosphorylation events that influence various downstream signaling pathways (elkhadragy2024roleofthe pages 15-16).</w:t>
      </w:r>
    </w:p>
    <w:p>
      <w:pPr>
        <w:numPr>
          <w:ilvl w:val="0"/>
          <w:numId w:val="1001"/>
        </w:numPr>
      </w:pPr>
      <w:r>
        <w:t xml:space="preserve">Function</w:t>
      </w:r>
      <w:r>
        <w:br/>
      </w:r>
      <w:r>
        <w:t xml:space="preserve">MAPK6/ERK3 is implicated in phosphorylating key substrates that are involved in diverse cellular processes. Notably, ERK3 phosphorylates microtubule-associated protein 2 (MAP2) and plays an integral role in the activation of MAPKAPK5 (MK5) through a signaling module that involves reciprocal phosphorylation events (Information section, elkhadragy2024roleofthe pages 2-4). The formation of a complex with MK5, where ERK3 is phosphorylated at Ser189 and subsequently facilitates MK5 activation, constitutes an essential component of its function (seternes2004activationofmk5prak pages 11-12). This module has been associated with the promotion of cell cycle entry, although the precise mechanistic details remain to be fully elucidated (Information section). Expression studies indicate that ERK3 is ubiquitously expressed in several tissues, with relatively higher levels observed in brain, skeletal muscle, and the gastrointestinal tract (coulombe2007atypicalmitogenactivatedprotein pages 1-2). Furthermore, the kinase is implicated in modulating cellular processes such as cytoskeletal organization and potentially transcription regulation through its substrates and interacting partners, thereby playing roles in cellular differentiation and proliferation (ronkina2019germlinedeletion pages 20-23). The reciprocal activation between ERK3 and MK5 might also interface with other signaling pathways that govern cell survival and growth (elkhadragy2024roleofthe pages 2-4, schroder2020crystalstructureand pages 10-12).</w:t>
      </w:r>
    </w:p>
    <w:p>
      <w:pPr>
        <w:numPr>
          <w:ilvl w:val="0"/>
          <w:numId w:val="1001"/>
        </w:numPr>
      </w:pPr>
      <w:r>
        <w:t xml:space="preserve">Other Comments</w:t>
      </w:r>
      <w:r>
        <w:br/>
      </w:r>
      <w:r>
        <w:t xml:space="preserve">Preliminary studies using structural analyses and inhibitor screening have identified several compounds with reversible and irreversible inhibitory effects on ERK3, although no inhibitor has yet been exclusively validated for clinical use (schroder2020crystalstructureand pages 10-12). Additionally, the atypical regulatory mechanisms, such as the utilization of non-canonical phosphorylation events and fast turnover via the ubiquitin-proteasome system, distinguish ERK3 from classical MAPKs and make it an emerging therapeutic target in the context of aberrant cell cycle progression and cancer biology (elkhadragy2024roleofthe pages 15-16). Although the direct causal associations with specific disease states are still under investigation, the reported role of ERK3 in forming a signaling complex with MK5 and its potential influence on cell cycle entry may have implications in tumorigenesis and proliferative disorders (ronkina2019germlinedeletion pages 20-23). Recent crystallographic efforts have provided insight into its ATP-binding site and active conformation, thereby laying the groundwork for future rational drug design aimed at selectively targeting this atypical MAPK (schroder2020crystalstructureand pages 1-3).</w:t>
      </w:r>
    </w:p>
    <w:p>
      <w:pPr>
        <w:numPr>
          <w:ilvl w:val="0"/>
          <w:numId w:val="1001"/>
        </w:numPr>
      </w:pPr>
      <w:r>
        <w:t xml:space="preserve">References</w:t>
      </w:r>
      <w:r>
        <w:br/>
      </w:r>
    </w:p>
    <w:p>
      <w:pPr>
        <w:numPr>
          <w:ilvl w:val="0"/>
          <w:numId w:val="1001"/>
        </w:numPr>
      </w:pPr>
      <w:r>
        <w:t xml:space="preserve">coulombe2007atypicalmitogenactivatedprotein pages 1-2</w:t>
      </w:r>
      <w:r>
        <w:br/>
      </w:r>
    </w:p>
    <w:p>
      <w:pPr>
        <w:numPr>
          <w:ilvl w:val="0"/>
          <w:numId w:val="1001"/>
        </w:numPr>
      </w:pPr>
      <w:r>
        <w:t xml:space="preserve">coulombe2007atypicalmitogenactivatedprotein pages 2-4</w:t>
      </w:r>
      <w:r>
        <w:br/>
      </w:r>
    </w:p>
    <w:p>
      <w:pPr>
        <w:numPr>
          <w:ilvl w:val="0"/>
          <w:numId w:val="1001"/>
        </w:numPr>
      </w:pPr>
      <w:r>
        <w:t xml:space="preserve">coulombe2007atypicalmitogenactivatedprotein pages 10-11</w:t>
      </w:r>
      <w:r>
        <w:br/>
      </w:r>
    </w:p>
    <w:p>
      <w:pPr>
        <w:numPr>
          <w:ilvl w:val="0"/>
          <w:numId w:val="1001"/>
        </w:numPr>
      </w:pPr>
      <w:r>
        <w:t xml:space="preserve">elkhadragy2020thecterminustail pages 13-14</w:t>
      </w:r>
      <w:r>
        <w:br/>
      </w:r>
    </w:p>
    <w:p>
      <w:pPr>
        <w:numPr>
          <w:ilvl w:val="0"/>
          <w:numId w:val="1001"/>
        </w:numPr>
      </w:pPr>
      <w:r>
        <w:t xml:space="preserve">elkhadragy2024roleofthe pages 1-2</w:t>
      </w:r>
      <w:r>
        <w:br/>
      </w:r>
    </w:p>
    <w:p>
      <w:pPr>
        <w:numPr>
          <w:ilvl w:val="0"/>
          <w:numId w:val="1001"/>
        </w:numPr>
      </w:pPr>
      <w:r>
        <w:t xml:space="preserve">elkhadragy2024roleofthe pages 11-13</w:t>
      </w:r>
      <w:r>
        <w:br/>
      </w:r>
    </w:p>
    <w:p>
      <w:pPr>
        <w:numPr>
          <w:ilvl w:val="0"/>
          <w:numId w:val="1001"/>
        </w:numPr>
      </w:pPr>
      <w:r>
        <w:t xml:space="preserve">elkhadragy2024roleofthe pages 15-16</w:t>
      </w:r>
      <w:r>
        <w:br/>
      </w:r>
    </w:p>
    <w:p>
      <w:pPr>
        <w:numPr>
          <w:ilvl w:val="0"/>
          <w:numId w:val="1001"/>
        </w:numPr>
      </w:pPr>
      <w:r>
        <w:t xml:space="preserve">elkhadragy2024roleofthe pages 2-4</w:t>
      </w:r>
      <w:r>
        <w:br/>
      </w:r>
    </w:p>
    <w:p>
      <w:pPr>
        <w:numPr>
          <w:ilvl w:val="0"/>
          <w:numId w:val="1001"/>
        </w:numPr>
      </w:pPr>
      <w:r>
        <w:t xml:space="preserve">ronkina2019germlinedeletion pages 20-23</w:t>
      </w:r>
      <w:r>
        <w:br/>
      </w:r>
    </w:p>
    <w:p>
      <w:pPr>
        <w:numPr>
          <w:ilvl w:val="0"/>
          <w:numId w:val="1001"/>
        </w:numPr>
      </w:pPr>
      <w:r>
        <w:t xml:space="preserve">schroder2020crystalstructureand pages 1-3</w:t>
      </w:r>
      <w:r>
        <w:br/>
      </w:r>
    </w:p>
    <w:p>
      <w:pPr>
        <w:numPr>
          <w:ilvl w:val="0"/>
          <w:numId w:val="1001"/>
        </w:numPr>
      </w:pPr>
      <w:r>
        <w:t xml:space="preserve">schroder2020crystalstructureand pages 10-12</w:t>
      </w:r>
      <w:r>
        <w:br/>
      </w:r>
    </w:p>
    <w:p>
      <w:pPr>
        <w:numPr>
          <w:ilvl w:val="0"/>
          <w:numId w:val="1001"/>
        </w:numPr>
      </w:pPr>
      <w:r>
        <w:t xml:space="preserve">schumacher2004scaffoldingbyerk3 pages 1-2</w:t>
      </w:r>
      <w:r>
        <w:br/>
      </w:r>
    </w:p>
    <w:p>
      <w:pPr>
        <w:numPr>
          <w:ilvl w:val="0"/>
          <w:numId w:val="1001"/>
        </w:numPr>
      </w:pPr>
      <w:r>
        <w:t xml:space="preserve">kant2006characterizationofthe pages 1-2</w:t>
      </w:r>
      <w:r>
        <w:br/>
      </w:r>
    </w:p>
    <w:p>
      <w:pPr>
        <w:numPr>
          <w:ilvl w:val="0"/>
          <w:numId w:val="1001"/>
        </w:numPr>
      </w:pPr>
      <w:r>
        <w:t xml:space="preserve">kultz1998phylogeneticandfunctional pages 1-2</w:t>
      </w:r>
      <w:r>
        <w:br/>
      </w:r>
    </w:p>
    <w:p>
      <w:pPr>
        <w:numPr>
          <w:ilvl w:val="0"/>
          <w:numId w:val="1001"/>
        </w:numPr>
      </w:pPr>
      <w:r>
        <w:t xml:space="preserve">kultz1998phylogeneticandfunctional pages 13-14</w:t>
      </w:r>
      <w:r>
        <w:br/>
      </w:r>
    </w:p>
    <w:p>
      <w:pPr>
        <w:numPr>
          <w:ilvl w:val="0"/>
          <w:numId w:val="1001"/>
        </w:numPr>
      </w:pPr>
      <w:r>
        <w:t xml:space="preserve">kultz1998phylogeneticandfunctional pages 5-9</w:t>
      </w:r>
      <w:r>
        <w:br/>
      </w:r>
    </w:p>
    <w:p>
      <w:pPr>
        <w:numPr>
          <w:ilvl w:val="0"/>
          <w:numId w:val="1001"/>
        </w:numPr>
      </w:pPr>
      <w:r>
        <w:t xml:space="preserve">cargnello2011activationandfunction pages 1-1</w:t>
      </w:r>
      <w:r>
        <w:br/>
      </w:r>
    </w:p>
    <w:p>
      <w:pPr>
        <w:numPr>
          <w:ilvl w:val="0"/>
          <w:numId w:val="1001"/>
        </w:numPr>
      </w:pPr>
      <w:r>
        <w:t xml:space="preserve">cargnello2011activationandfunction pages 8-9</w:t>
      </w:r>
      <w:r>
        <w:br/>
      </w:r>
    </w:p>
    <w:p>
      <w:pPr>
        <w:numPr>
          <w:ilvl w:val="0"/>
          <w:numId w:val="1001"/>
        </w:numPr>
      </w:pPr>
      <w:r>
        <w:t xml:space="preserve">seternes2004activationofmk5prak pages 11-12</w:t>
      </w:r>
      <w:r>
        <w:br/>
      </w:r>
    </w:p>
    <w:p>
      <w:pPr>
        <w:numPr>
          <w:ilvl w:val="0"/>
          <w:numId w:val="1001"/>
        </w:numPr>
      </w:pPr>
      <w:r>
        <w:t xml:space="preserve">oleaflores2019extracellularsignalregulatedkinase pages 3-6</w:t>
      </w:r>
    </w:p>
    <w:p>
      <w:pPr>
        <w:pStyle w:val="FirstParagraph"/>
      </w:pPr>
      <w:r>
        <w:t xml:space="preserve">References</w:t>
      </w:r>
    </w:p>
    <w:p>
      <w:pPr>
        <w:numPr>
          <w:ilvl w:val="0"/>
          <w:numId w:val="1002"/>
        </w:numPr>
      </w:pPr>
      <w:r>
        <w:t xml:space="preserve">(coulombe2007atypicalmitogenactivatedprotein pages 1-2):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463 citations.</w:t>
      </w:r>
    </w:p>
    <w:p>
      <w:pPr>
        <w:numPr>
          <w:ilvl w:val="0"/>
          <w:numId w:val="1002"/>
        </w:numPr>
      </w:pPr>
      <w:r>
        <w:t xml:space="preserve">(coulombe2007atypicalmitogenactivatedprotein pages 2-4):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463 citations.</w:t>
      </w:r>
    </w:p>
    <w:p>
      <w:pPr>
        <w:numPr>
          <w:ilvl w:val="0"/>
          <w:numId w:val="1002"/>
        </w:numPr>
      </w:pPr>
      <w:r>
        <w:t xml:space="preserve">(elkhadragy2020thecterminustail pages 13-14): Lobna Elkhadragy, Hadel Alsaran, and Weiwen Long. The c-terminus tail regulates erk3 kinase activity and its ability in promoting cancer cell migration and invasion. International Journal of Molecular Sciences, 21:4044, Jun 2020. URL: https://doi.org/10.3390/ijms21114044, doi:10.3390/ijms21114044. This article has 22 citations and is from a peer-reviewed journal.</w:t>
      </w:r>
    </w:p>
    <w:p>
      <w:pPr>
        <w:numPr>
          <w:ilvl w:val="0"/>
          <w:numId w:val="1002"/>
        </w:numPr>
      </w:pPr>
      <w:r>
        <w:t xml:space="preserve">(elkhadragy2024roleofthe pages 1-2): Lobna Elkhadragy, Amanda Myers, and Weiwen Long. Role of the atypical mapk erk3 in cancer growth and progression. Cancers, 16:1381, Mar 2024. URL: https://doi.org/10.3390/cancers16071381, doi:10.3390/cancers16071381. This article has 1 citations and is from a peer-reviewed journal.</w:t>
      </w:r>
    </w:p>
    <w:p>
      <w:pPr>
        <w:numPr>
          <w:ilvl w:val="0"/>
          <w:numId w:val="1002"/>
        </w:numPr>
      </w:pPr>
      <w:r>
        <w:t xml:space="preserve">(ronkina2019germlinedeletion pages 20-23): Natalia Ronkina, K. Schuster‐Gossler, F. Hansmann, Heike Kunze-Schumacher, I. Sandrock, Tatiana Yakovleva, Juri Lafera, Wolfgang Baumgärtner, Andreas Krueger, I. Prinz, Achim Gossler, A. Kotlyarov, and Matthias Gaestel. Germ line deletion reveals a nonessential role of atypical mitogen-activated protein kinase 6/extracellular signal-regulated kinase 3. Molecular and Cellular Biology, Mar 2019. URL: https://doi.org/10.1128/mcb.00516-18, doi:10.1128/mcb.00516-18. This article has 17 citations and is from a domain leading peer-reviewed journal.</w:t>
      </w:r>
    </w:p>
    <w:p>
      <w:pPr>
        <w:numPr>
          <w:ilvl w:val="0"/>
          <w:numId w:val="1002"/>
        </w:numPr>
      </w:pPr>
      <w:r>
        <w:t xml:space="preserve">(schroder2020crystalstructureand pages 1-3): Martin Schröder, Panagis Filippakopoulos, Martin P. Schwalm, Carla A. Ferrer, David H. Drewry, Stefan Knapp, and Apirat Chaikuad. Crystal structure and inhibitor identifications reveal targeting opportunity for the atypical mapk kinase erk3. International Journal of Molecular Sciences, 21:7953, Oct 2020. URL: https://doi.org/10.3390/ijms21217953, doi:10.3390/ijms21217953. This article has 13 citations and is from a peer-reviewed journal.</w:t>
      </w:r>
    </w:p>
    <w:p>
      <w:pPr>
        <w:numPr>
          <w:ilvl w:val="0"/>
          <w:numId w:val="1002"/>
        </w:numPr>
      </w:pPr>
      <w:r>
        <w:t xml:space="preserve">(schroder2020crystalstructureand pages 10-12): Martin Schröder, Panagis Filippakopoulos, Martin P. Schwalm, Carla A. Ferrer, David H. Drewry, Stefan Knapp, and Apirat Chaikuad. Crystal structure and inhibitor identifications reveal targeting opportunity for the atypical mapk kinase erk3. International Journal of Molecular Sciences, 21:7953, Oct 2020. URL: https://doi.org/10.3390/ijms21217953, doi:10.3390/ijms21217953. This article has 13 citations and is from a peer-reviewed journal.</w:t>
      </w:r>
    </w:p>
    <w:p>
      <w:pPr>
        <w:numPr>
          <w:ilvl w:val="0"/>
          <w:numId w:val="1002"/>
        </w:numPr>
      </w:pPr>
      <w:r>
        <w:t xml:space="preserve">(schumacher2004scaffoldingbyerk3 pages 1-2): Stefanie Schumacher, Kathrin Laaß, Shashi Kant, Yu Shi, Axel Visel, Achim D Gruber, Alexey Kotlyarov, and Matthias Gaestel. Scaffolding by erk3 regulates mk5 in development. The EMBO Journal, Dec 2004. URL: https://doi.org/10.1038/sj.emboj.7600467, doi:10.1038/sj.emboj.7600467. This article has 153 citations.</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(coulombe2007atypicalmitogenactivatedprotein pages 10-11):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463 citations.</w:t>
      </w:r>
    </w:p>
    <w:p>
      <w:pPr>
        <w:numPr>
          <w:ilvl w:val="0"/>
          <w:numId w:val="1002"/>
        </w:numPr>
      </w:pPr>
      <w:r>
        <w:t xml:space="preserve">(elkhadragy2024roleofthe pages 11-13): Lobna Elkhadragy, Amanda Myers, and Weiwen Long. Role of the atypical mapk erk3 in cancer growth and progression. Cancers, 16:1381, Mar 2024. URL: https://doi.org/10.3390/cancers16071381, doi:10.3390/cancers16071381. This article has 1 citations and is from a peer-reviewed journal.</w:t>
      </w:r>
    </w:p>
    <w:p>
      <w:pPr>
        <w:numPr>
          <w:ilvl w:val="0"/>
          <w:numId w:val="1002"/>
        </w:numPr>
      </w:pPr>
      <w:r>
        <w:t xml:space="preserve">(elkhadragy2024roleofthe pages 15-16): Lobna Elkhadragy, Amanda Myers, and Weiwen Long. Role of the atypical mapk erk3 in cancer growth and progression. Cancers, 16:1381, Mar 2024. URL: https://doi.org/10.3390/cancers16071381, doi:10.3390/cancers16071381. This article has 1 citations and is from a peer-reviewed journal.</w:t>
      </w:r>
    </w:p>
    <w:p>
      <w:pPr>
        <w:numPr>
          <w:ilvl w:val="0"/>
          <w:numId w:val="1002"/>
        </w:numPr>
      </w:pPr>
      <w:r>
        <w:t xml:space="preserve">(elkhadragy2024roleofthe pages 2-4): Lobna Elkhadragy, Amanda Myers, and Weiwen Long. Role of the atypical mapk erk3 in cancer growth and progression. Cancers, 16:1381, Mar 2024. URL: https://doi.org/10.3390/cancers16071381, doi:10.3390/cancers16071381. This article has 1 citations and is from a peer-reviewed journal.</w:t>
      </w:r>
    </w:p>
    <w:p>
      <w:pPr>
        <w:numPr>
          <w:ilvl w:val="0"/>
          <w:numId w:val="1002"/>
        </w:numPr>
      </w:pPr>
      <w:r>
        <w:t xml:space="preserve">(kant2006characterizationofthe pages 1-2): Shashi Kant, Stefanie Schumacher, Manvendra Kumar Singh, Andreas Kispert, Alexey Kotlyarov, and Matthias Gaestel. Characterization of the atypical mapk erk4 and its activation of the mapk-activated protein kinase mk5*. Journal of Biological Chemistry, 281:35511-35519, Nov 2006. URL: https://doi.org/10.1074/jbc.m606693200, doi:10.1074/jbc.m606693200. This article has 142 citations and is from a domain leading peer-reviewed journal.</w:t>
      </w:r>
    </w:p>
    <w:p>
      <w:pPr>
        <w:numPr>
          <w:ilvl w:val="0"/>
          <w:numId w:val="1002"/>
        </w:numPr>
      </w:pPr>
      <w:r>
        <w:t xml:space="preserve">(kultz1998phylogeneticandfunctional pages 1-2):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(kultz1998phylogeneticandfunctional pages 13-14):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(kultz1998phylogeneticandfunctional pages 5-9):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(oleaflores2019extracellularsignalregulatedkinase pages 3-6): Monserrat Olea-Flores, Miriam Daniela Zuñiga-Eulogio, Miguel Angel Mendoza-Catalán, Hugo Alberto Rodríguez-Ruiz, Eduardo Castañeda-Saucedo, Carlos Ortuño-Pineda, Teresita Padilla-Benavides, and Napoleón Navarro-Tito. Extracellular-signal regulated kinase: a central molecule driving epithelial–mesenchymal transition in cancer. International Journal of Molecular Sciences, 20:2885, Jun 2019. URL: https://doi.org/10.3390/ijms20122885, doi:10.3390/ijms20122885. This article has 143 citations and is from a peer-reviewed journal.</w:t>
      </w:r>
    </w:p>
    <w:p>
      <w:pPr>
        <w:numPr>
          <w:ilvl w:val="0"/>
          <w:numId w:val="1002"/>
        </w:numPr>
      </w:pPr>
      <w:r>
        <w:t xml:space="preserve">(seternes2004activationofmk5prak pages 11-12): Ole-Morten Seternes, Theresa Mikalsen, Bjarne Johansen, Espen Michaelsen, Chris G Armstrong, Nick A Morrice, Benjamin Turgeon, Sylvain Meloche, Ugo Moens, and Stephen M Keyse. Activation of mk5/prak by the atypical map kinase erk3 defines a novel signal transduction pathway. The EMBO Journal, Dec 2004. URL: https://doi.org/10.1038/sj.emboj.7600489, doi:10.1038/sj.emboj.7600489. This article has 198 citations.</w:t>
      </w:r>
    </w:p>
    <w:p>
      <w:pPr>
        <w:numPr>
          <w:ilvl w:val="0"/>
          <w:numId w:val="1002"/>
        </w:numPr>
      </w:pPr>
      <w:r>
        <w:t xml:space="preserve">(cargnello2011activationandfunction pages 8-9):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2025-06-18T18:55:38Z</dcterms:created>
  <dcterms:modified xsi:type="dcterms:W3CDTF">2025-06-18T18:55:38Z</dcterms:modified>
</cp:coreProperties>
</file>

<file path=docProps/custom.xml><?xml version="1.0" encoding="utf-8"?>
<Properties xmlns="http://schemas.openxmlformats.org/officeDocument/2006/custom-properties" xmlns:vt="http://schemas.openxmlformats.org/officeDocument/2006/docPropsVTypes"/>
</file>