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Misshapen‐like kinase 1 (MINK1), also designated as MAP4K6, MiNK, YSK2, or ZC3, is a member of the germinal center kinase (GCK) family and is classified within the GCK IV subgroup of the Ste20 kinases. MINK1 is evolutionarily conserved across metazoans, with orthologs identified in Drosophila melanogaster (where the homolog is traditionally known as Misshapen) and in simpler invertebrates such as Caenorhabditis elegans. In mammals, the misshapen subfamily comprises MINK1 along with related kinases such as MAP4K4 and TNIK, which together form a clade within the broader MAP4K family. Comparative sequence analyses and phylogenetic reconstructions have placed MINK1 alongside these kinases, emphasizing its conservation among eukaryotes and its retention in the signaling networks that regulate cytoskeletal dynamics and cell signaling (li2019themisshapensubfamily pages 1-3, jovanovic2022themolecularbasis pages 2-4, lestari2022placentalmammalsacquired pages 3-4).</w:t>
      </w:r>
    </w:p>
    <w:p>
      <w:pPr>
        <w:numPr>
          <w:ilvl w:val="0"/>
          <w:numId w:val="1001"/>
        </w:numPr>
      </w:pPr>
      <w:r>
        <w:t xml:space="preserve">Reaction Catalyzed</w:t>
      </w:r>
      <w:r>
        <w:br/>
      </w:r>
      <w:r>
        <w:t xml:space="preserve">MINK1 catalyzes the transfer of a phosphate group from ATP to serine or threonine residues on target substrate proteins. The general chemical reaction can be represented as follows:</w:t>
      </w:r>
      <w:r>
        <w:br/>
      </w:r>
      <w:r>
        <w:t xml:space="preserve">  ATP + [protein]-(L-serine or L-threonine) → ADP + [protein]-O-phospho-(L-serine or L-threonine) + H⁺.</w:t>
      </w:r>
      <w:r>
        <w:br/>
      </w:r>
      <w:r>
        <w:t xml:space="preserve">This reaction is mechanistically identical to that catalyzed by other serine/threonine kinases, whereby the gamma-phosphate of ATP is covalently attached to the hydroxyl group of the substrate amino acid (miller2019comprehensiveprofilingof pages 1-2, frey2015germinalcenterkinases pages 7-9).</w:t>
      </w:r>
    </w:p>
    <w:p>
      <w:pPr>
        <w:numPr>
          <w:ilvl w:val="0"/>
          <w:numId w:val="1001"/>
        </w:numPr>
      </w:pPr>
      <w:r>
        <w:t xml:space="preserve">Cofactor Requirements</w:t>
      </w:r>
      <w:r>
        <w:br/>
      </w:r>
      <w:r>
        <w:t xml:space="preserve">The kinase activity of MINK1 is dependent on the presence of divalent cations, with Mg²⁺ being essential for its catalytic function. Mg²⁺ ions coordinate with ATP in the active site, thereby facilitating the proper orientation of the phosphate groups for transfer to the substrate. This requirement for magnesium is a conserved feature among serine/threonine kinases and is critical for efficient phosphoryl transfer (hyodo2012misshapenlikekinase1 pages 1-2, miller2019comprehensiveprofilingof pages 28-29).</w:t>
      </w:r>
    </w:p>
    <w:p>
      <w:pPr>
        <w:numPr>
          <w:ilvl w:val="0"/>
          <w:numId w:val="1001"/>
        </w:numPr>
      </w:pPr>
      <w:r>
        <w:t xml:space="preserve">Substrate Specificity</w:t>
      </w:r>
      <w:r>
        <w:br/>
      </w:r>
      <w:r>
        <w:t xml:space="preserve">MINK1 exhibits substrate specificity characteristic of the MAP4K family of serine/threonine kinases. It phosphorylates serine or threonine residues within protein substrates that are involved in key signaling cascades. Functionally, MINK1 acts as a negative regulator of Ras-related Rap2-mediated signal transduction and is implicated in the control of neuronal structure and AMPA receptor trafficking. Experimental evidence indicates that substrates of MINK1 include proteins such as TANC1, which is phosphorylated following stimulation by RAP2A, MBP, and SMAD1. Although detailed consensus substrate motifs for MINK1 have not been fully defined in the current literature, available data suggest that its substrate recognition is consistent with that of other GCK IV kinases, which typically target serine/threonine residues within specific sequence contexts that remain to be comprehensively characterized (daulat2012mink1regulatesβcateninindependent pages 3-4, li2019themisshapensubfamily pages 4-6, miller2019comprehensiveprofilingof pages 28-29, singh2023molecularinsightsof pages 12-13).</w:t>
      </w:r>
    </w:p>
    <w:p>
      <w:pPr>
        <w:numPr>
          <w:ilvl w:val="0"/>
          <w:numId w:val="1001"/>
        </w:numPr>
      </w:pPr>
      <w:r>
        <w:t xml:space="preserve">Structure</w:t>
      </w:r>
      <w:r>
        <w:br/>
      </w:r>
      <w:r>
        <w:t xml:space="preserve">MINK1 displays a modular domain organization that is common to many Ste20 kinases. The N-terminal region of MINK1 encompasses a catalytic kinase domain that contains the conserved motifs required for ATP binding and phosphotransfer. Within this domain, key structural features include the glycine-rich loop (P-loop), the catalytic loop, the DFG (Asp-Phe-Gly) motif responsible for coordinating Mg²⁺, and the activation loop, which undergoes conformational changes that are indicative of the kinase’s activation state. Structural analyses based on sequence alignments and AlphaFold models reveal that the kinase domain possesses a conserved hydrophobic spine and a C-helix (αC helix) that are crucial for aligning catalytic residues and facilitating substrate phosphorylation (miller2019comprehensiveprofilingof pages 24-25, miller2019comprehensiveprofilingof pages 28-29).</w:t>
      </w:r>
    </w:p>
    <w:p>
      <w:pPr>
        <w:pStyle w:val="FirstParagraph"/>
      </w:pPr>
      <w:r>
        <w:t xml:space="preserve">Following the catalytic domain, MINK1 contains a non-catalytic C-terminal region that harbors the citron homology (CNH) or GCK homology domain. This domain functions as a binding interface for small GTPases such as RAP2 and is integral to the regulation of the kinase’s activity and localization. In addition, MINK1 harbors eight proline-rich (PXXP) motifs, which serve as docking sites for SH3 domain–containing adaptor proteins such as Nck. These interactions are thought to facilitate the assembly of multi-protein complexes that link MINK1 activity to cytoskeletal organization and other cell signaling processes (li2019themisshapensubfamily pages 1-3, li2019themisshapensubfamily pages 4-6, zhong2025thecitronhomology pages 11-12).</w:t>
      </w:r>
    </w:p>
    <w:p>
      <w:pPr>
        <w:pStyle w:val="BodyText"/>
      </w:pPr>
      <w:r>
        <w:t xml:space="preserve">Alternative splicing of the MINK1 gene generates multiple isoforms, with the canonical human isoform reported to consist of 332 amino acids and a molecular weight of approximately 150 kDa. Isoform-specific expression patterns have been observed, with isoform 1 being predominant in skeletal muscle, isoform 2 in brain tissue, and isoforms 3 and 4 being ubiquitously expressed. These isoform variations may contribute to tissue-specific functions and regulatory mechanisms (protein information provided, li2019themisshapensubfamily pages 1-3).</w:t>
      </w:r>
    </w:p>
    <w:p>
      <w:pPr>
        <w:pStyle w:val="Compact"/>
        <w:numPr>
          <w:ilvl w:val="0"/>
          <w:numId w:val="1002"/>
        </w:numPr>
      </w:pPr>
      <w:r>
        <w:t xml:space="preserve">Regulation</w:t>
      </w:r>
      <w:r>
        <w:br/>
      </w:r>
      <w:r>
        <w:t xml:space="preserve">MINK1 activity is finely regulated by post-translational modifications and protein–protein interactions. A critical regulatory mechanism involves phosphorylation, with evidence pointing to the importance of phosphorylation at threonine 187 (T187) for full kinase activation. Studies in cellular systems, including those involving intestinal epithelia, have demonstrated that mutation of this conserved threonine residue impairs MINK1 activity, thereby underscoring its role as a key regulatory site (li2019themisshapensubfamily pages 16-21).</w:t>
      </w:r>
    </w:p>
    <w:p>
      <w:pPr>
        <w:pStyle w:val="FirstParagraph"/>
      </w:pPr>
      <w:r>
        <w:t xml:space="preserve">In addition to autophosphorylation and phosphorylation by upstream kinases, MINK1 is a component of the STRIPAK complex—a multiprotein assembly that includes striatin family proteins and the serine/threonine phosphatase PP2A. Within this complex, MINK1 interacts with regulatory subunits such as STRN4, and its dephosphorylation by PP2A is enhanced by scaffold proteins like Zinedin. This dynamic balance between phosphorylation and dephosphorylation is essential for the proper regulation of MINK1 activity during processes such as cytokinesis and cell migration (hyodo2012misshapenlikekinase1 pages 1-2, jovanovic2022themolecularbasis pages 2-4).</w:t>
      </w:r>
    </w:p>
    <w:p>
      <w:pPr>
        <w:pStyle w:val="BodyText"/>
      </w:pPr>
      <w:r>
        <w:t xml:space="preserve">Further regulatory inputs are provided by interactions with small GTPases (e.g., RAP2) and SH3 domain-containing adaptor proteins (e.g., Nck), which bind to the proline-rich regions of MINK1. These interactions not only facilitate the spatial targeting of MINK1 to specific subcellular locales but also modulate its kinase activity in response to extracellular signals. Collectively, these mechanisms enable MINK1 to integrate diverse upstream cues and fine-tune downstream signaling outputs (jovanovic2022themolecularbasis pages 6-7, li2019themisshapensubfamily pages 16-21).</w:t>
      </w:r>
    </w:p>
    <w:p>
      <w:pPr>
        <w:pStyle w:val="Compact"/>
        <w:numPr>
          <w:ilvl w:val="0"/>
          <w:numId w:val="1003"/>
        </w:numPr>
      </w:pPr>
      <w:r>
        <w:t xml:space="preserve">Function</w:t>
      </w:r>
      <w:r>
        <w:br/>
      </w:r>
      <w:r>
        <w:t xml:space="preserve">MINK1 functions as a serine/threonine kinase that plays multiple roles in cellular signaling. One of its primary functions is to act as a negative regulator of Ras-related Rap2-mediated signal transduction. Through this activity, MINK1 modulates neuronal structure by controlling pathways that influence synaptic density, dendrite complexity, and the surface expression of AMPA receptors. In hippocampal neurons, proper MINK1 function is essential for maintaining synaptic transmission and plasticity (protein information provided, OpenTargets Search: -MINK1).</w:t>
      </w:r>
    </w:p>
    <w:p>
      <w:pPr>
        <w:pStyle w:val="FirstParagraph"/>
      </w:pPr>
      <w:r>
        <w:t xml:space="preserve">In addition to its role in neuronal signaling, MINK1 is capable of activating stress-activated protein kinase cascades. It has been demonstrated to stimulate the c-Jun N-terminal kinase (JNK) pathway as well as the p38 MAPK (MAPK14) pathway downstream of the Raf/ERK signaling cascade. These stress-responsive pathways are involved in cellular responses to environmental stress and are critical in the regulation of apoptosis, cell differentiation, and cytoskeletal rearrangement (hyodo2012misshapenlikekinase1 pages 1-2, miller2019comprehensiveprofilingof pages 29-30).</w:t>
      </w:r>
    </w:p>
    <w:p>
      <w:pPr>
        <w:pStyle w:val="BodyText"/>
      </w:pPr>
      <w:r>
        <w:t xml:space="preserve">MINK1 also phosphorylates TANC1 in response to specific stimuli such as RAP2A, myelin basic protein (MBP), and SMAD1, thereby linking its activity to the regulation of intracellular signaling networks that govern cell proliferation and differentiation. Moreover, MINK1 has been implicated in the immune system; it may play an essential role in the negative selection of thymocytes by coupling Nck1 to the activation of JNK1. In this capacity, MINK1 contributes to the maintenance of immune tolerance by ensuring the elimination of autoreactive thymocytes (protein information provided, jovanovic2022themolecularbasis pages 8-9).</w:t>
      </w:r>
    </w:p>
    <w:p>
      <w:pPr>
        <w:pStyle w:val="BodyText"/>
      </w:pPr>
      <w:r>
        <w:t xml:space="preserve">Another important function of MINK1 is its role as an activator of the Hippo signaling pathway. Within this pathway, MINK1 and other MAP4K family members act in parallel with MST kinases (STK3/MST2 and STK4/MST1) to phosphorylate and thereby activate LATS kinases. Activation of the Hippo pathway ultimately leads to the restriction of cell proliferation and the promotion of apoptosis—functions that are critical for organ size control and tumor suppression. In addition, MINK1’s influence on actin cytoskeletal dynamics and cell motility further underscores its versatility in regulating both neuronal and non-neuronal cellular functions. These multifunctional roles, which encompass contributions to neuronal structure, stress response, immune cell development, and tumor suppression, highlight the central position of MINK1 in diverse signaling networks (protein information provided, jovanovic2022themolecularbasis pages 8-9, lestari2022placentalmammalsacquired pages 13-14, singh2023molecularinsightsof pages 12-13).</w:t>
      </w:r>
    </w:p>
    <w:p>
      <w:pPr>
        <w:numPr>
          <w:ilvl w:val="0"/>
          <w:numId w:val="1004"/>
        </w:numPr>
      </w:pPr>
      <w:r>
        <w:t xml:space="preserve">Other Comments</w:t>
      </w:r>
      <w:r>
        <w:br/>
      </w:r>
      <w:r>
        <w:t xml:space="preserve">Genome‐wide association data aggregated by the Open Targets Platform have linked MINK1 to several hematological traits, including platelet count, mean platelet volume, lymphocyte count, thrombocytopenia, and platelet component distribution width, thereby suggesting a broader functional impact that extends beyond neuronal and immune cell regulation (OpenTargets Search: -MINK1). Although specific small‐molecule inhibitors that selectively target MINK1 are not well characterized in the current literature, ATP-competitive inhibitors developed for kinases within the MAP4K family provide a framework for ongoing drug discovery efforts. Studies in related kinases have identified compounds that target the ATP binding pocket and modulate kinase activity, and these approaches may eventually be extended to MINK1 as additional biochemical and structural data become available (miller2019comprehensiveprofilingof pages 29-30, jovanovic2022themolecularbasis pages 6-7). At present, no definitive disease mutations have been reported for MINK1; however, its critical roles in pathways that regulate synaptic plasticity, stress response, and immune cell development imply that aberrant MINK1 function could contribute to pathological conditions in the nervous system, cancer, and hematological disorders. Continued research into the substrate specificity, structural nuances, and regulatory modifications of MINK1 is expected to fully elucidate its potential as a therapeutic target in these contexts (lestari2022placentalmammalsacquired pages 13-14, miller2019comprehensiveprofilingof pages 30-31).</w:t>
      </w:r>
    </w:p>
    <w:p>
      <w:pPr>
        <w:numPr>
          <w:ilvl w:val="0"/>
          <w:numId w:val="1004"/>
        </w:numPr>
      </w:pPr>
      <w:r>
        <w:t xml:space="preserve">References</w:t>
      </w:r>
      <w:r>
        <w:br/>
      </w:r>
    </w:p>
    <w:p>
      <w:pPr>
        <w:numPr>
          <w:ilvl w:val="0"/>
          <w:numId w:val="1004"/>
        </w:numPr>
      </w:pPr>
      <w:r>
        <w:t xml:space="preserve">li2019themisshapensubfamily pages 1-3</w:t>
      </w:r>
      <w:r>
        <w:br/>
      </w:r>
    </w:p>
    <w:p>
      <w:pPr>
        <w:numPr>
          <w:ilvl w:val="0"/>
          <w:numId w:val="1004"/>
        </w:numPr>
      </w:pPr>
      <w:r>
        <w:t xml:space="preserve">li2019themisshapensubfamily pages 16-21</w:t>
      </w:r>
      <w:r>
        <w:br/>
      </w:r>
    </w:p>
    <w:p>
      <w:pPr>
        <w:numPr>
          <w:ilvl w:val="0"/>
          <w:numId w:val="1004"/>
        </w:numPr>
      </w:pPr>
      <w:r>
        <w:t xml:space="preserve">li2019themisshapensubfamily pages 4-6</w:t>
      </w:r>
      <w:r>
        <w:br/>
      </w:r>
    </w:p>
    <w:p>
      <w:pPr>
        <w:numPr>
          <w:ilvl w:val="0"/>
          <w:numId w:val="1004"/>
        </w:numPr>
      </w:pPr>
      <w:r>
        <w:t xml:space="preserve">li2023cellularimpactsof pages 4-6</w:t>
      </w:r>
      <w:r>
        <w:br/>
      </w:r>
    </w:p>
    <w:p>
      <w:pPr>
        <w:numPr>
          <w:ilvl w:val="0"/>
          <w:numId w:val="1004"/>
        </w:numPr>
      </w:pPr>
      <w:r>
        <w:t xml:space="preserve">miller2019comprehensiveprofilingof pages 1-2</w:t>
      </w:r>
      <w:r>
        <w:br/>
      </w:r>
    </w:p>
    <w:p>
      <w:pPr>
        <w:numPr>
          <w:ilvl w:val="0"/>
          <w:numId w:val="1004"/>
        </w:numPr>
      </w:pPr>
      <w:r>
        <w:t xml:space="preserve">miller2019comprehensiveprofilingof pages 24-25</w:t>
      </w:r>
      <w:r>
        <w:br/>
      </w:r>
    </w:p>
    <w:p>
      <w:pPr>
        <w:numPr>
          <w:ilvl w:val="0"/>
          <w:numId w:val="1004"/>
        </w:numPr>
      </w:pPr>
      <w:r>
        <w:t xml:space="preserve">miller2019comprehensiveprofilingof pages 28-29</w:t>
      </w:r>
      <w:r>
        <w:br/>
      </w:r>
    </w:p>
    <w:p>
      <w:pPr>
        <w:numPr>
          <w:ilvl w:val="0"/>
          <w:numId w:val="1004"/>
        </w:numPr>
      </w:pPr>
      <w:r>
        <w:t xml:space="preserve">miller2019comprehensiveprofilingof pages 29-30</w:t>
      </w:r>
      <w:r>
        <w:br/>
      </w:r>
    </w:p>
    <w:p>
      <w:pPr>
        <w:numPr>
          <w:ilvl w:val="0"/>
          <w:numId w:val="1004"/>
        </w:numPr>
      </w:pPr>
      <w:r>
        <w:t xml:space="preserve">miller2019comprehensiveprofilingof pages 30-31</w:t>
      </w:r>
      <w:r>
        <w:br/>
      </w:r>
    </w:p>
    <w:p>
      <w:pPr>
        <w:numPr>
          <w:ilvl w:val="0"/>
          <w:numId w:val="1004"/>
        </w:numPr>
      </w:pPr>
      <w:r>
        <w:t xml:space="preserve">daulat2012mink1regulatesβcateninindependent pages 3-4</w:t>
      </w:r>
      <w:r>
        <w:br/>
      </w:r>
    </w:p>
    <w:p>
      <w:pPr>
        <w:numPr>
          <w:ilvl w:val="0"/>
          <w:numId w:val="1004"/>
        </w:numPr>
      </w:pPr>
      <w:r>
        <w:t xml:space="preserve">frey2015germinalcenterkinases pages 7-9</w:t>
      </w:r>
      <w:r>
        <w:br/>
      </w:r>
    </w:p>
    <w:p>
      <w:pPr>
        <w:numPr>
          <w:ilvl w:val="0"/>
          <w:numId w:val="1004"/>
        </w:numPr>
      </w:pPr>
      <w:r>
        <w:t xml:space="preserve">hyodo2012misshapenlikekinase1 pages 1-2</w:t>
      </w:r>
      <w:r>
        <w:br/>
      </w:r>
    </w:p>
    <w:p>
      <w:pPr>
        <w:numPr>
          <w:ilvl w:val="0"/>
          <w:numId w:val="1004"/>
        </w:numPr>
      </w:pPr>
      <w:r>
        <w:t xml:space="preserve">jovanovic2022themolecularbasis pages 2-4</w:t>
      </w:r>
      <w:r>
        <w:br/>
      </w:r>
    </w:p>
    <w:p>
      <w:pPr>
        <w:numPr>
          <w:ilvl w:val="0"/>
          <w:numId w:val="1004"/>
        </w:numPr>
      </w:pPr>
      <w:r>
        <w:t xml:space="preserve">jovanovic2022themolecularbasis pages 8-9</w:t>
      </w:r>
      <w:r>
        <w:br/>
      </w:r>
    </w:p>
    <w:p>
      <w:pPr>
        <w:numPr>
          <w:ilvl w:val="0"/>
          <w:numId w:val="1004"/>
        </w:numPr>
      </w:pPr>
      <w:r>
        <w:t xml:space="preserve">jovanovic2022themolecularbasis pages 6-7</w:t>
      </w:r>
      <w:r>
        <w:br/>
      </w:r>
    </w:p>
    <w:p>
      <w:pPr>
        <w:numPr>
          <w:ilvl w:val="0"/>
          <w:numId w:val="1004"/>
        </w:numPr>
      </w:pPr>
      <w:r>
        <w:t xml:space="preserve">lestari2022placentalmammalsacquired pages 3-4</w:t>
      </w:r>
      <w:r>
        <w:br/>
      </w:r>
    </w:p>
    <w:p>
      <w:pPr>
        <w:numPr>
          <w:ilvl w:val="0"/>
          <w:numId w:val="1004"/>
        </w:numPr>
      </w:pPr>
      <w:r>
        <w:t xml:space="preserve">lestari2022placentalmammalsacquired pages 13-14</w:t>
      </w:r>
      <w:r>
        <w:br/>
      </w:r>
    </w:p>
    <w:p>
      <w:pPr>
        <w:numPr>
          <w:ilvl w:val="0"/>
          <w:numId w:val="1004"/>
        </w:numPr>
      </w:pPr>
      <w:r>
        <w:t xml:space="preserve">schwein2020theoglcnacmodification pages 27-28</w:t>
      </w:r>
      <w:r>
        <w:br/>
      </w:r>
    </w:p>
    <w:p>
      <w:pPr>
        <w:numPr>
          <w:ilvl w:val="0"/>
          <w:numId w:val="1004"/>
        </w:numPr>
      </w:pPr>
      <w:r>
        <w:t xml:space="preserve">seo2020map4kinteractomereveals pages 1-4</w:t>
      </w:r>
      <w:r>
        <w:br/>
      </w:r>
    </w:p>
    <w:p>
      <w:pPr>
        <w:numPr>
          <w:ilvl w:val="0"/>
          <w:numId w:val="1004"/>
        </w:numPr>
      </w:pPr>
      <w:r>
        <w:t xml:space="preserve">zhong2025thecitronhomology pages 11-12</w:t>
      </w:r>
      <w:r>
        <w:br/>
      </w:r>
    </w:p>
    <w:p>
      <w:pPr>
        <w:numPr>
          <w:ilvl w:val="0"/>
          <w:numId w:val="1004"/>
        </w:numPr>
      </w:pPr>
      <w:r>
        <w:t xml:space="preserve">OpenTargets Search: -MINK1</w:t>
      </w:r>
      <w:r>
        <w:br/>
      </w:r>
    </w:p>
    <w:p>
      <w:pPr>
        <w:numPr>
          <w:ilvl w:val="0"/>
          <w:numId w:val="1004"/>
        </w:numPr>
      </w:pPr>
      <w:r>
        <w:t xml:space="preserve">singh2023molecularinsightsof pages 12-13</w:t>
      </w:r>
    </w:p>
    <w:p>
      <w:pPr>
        <w:pStyle w:val="FirstParagraph"/>
      </w:pPr>
      <w:r>
        <w:t xml:space="preserve">References</w:t>
      </w:r>
    </w:p>
    <w:p>
      <w:pPr>
        <w:numPr>
          <w:ilvl w:val="0"/>
          <w:numId w:val="1005"/>
        </w:numPr>
      </w:pPr>
      <w:r>
        <w:t xml:space="preserve">(OpenTargets Search: -MINK1): Open Targets Query (-MINK1, 5 results). Buniello, A. et al. (2025). Open Targets Platform: facilitating therapeutic hypotheses building in drug discovery. Nucleic Acids Research.</w:t>
      </w:r>
    </w:p>
    <w:p>
      <w:pPr>
        <w:numPr>
          <w:ilvl w:val="0"/>
          <w:numId w:val="1005"/>
        </w:numPr>
      </w:pPr>
      <w:r>
        <w:t xml:space="preserve">(li2019themisshapensubfamily pages 1-3): Qi Li, Niraj K. Nirala, Hsi‐Ju Chen, Yingchao Nie, Wei Wang, Biliang Zhang, Michael P. Czech, Qi Wang, Lan Xu, Junhao Mao, and Y. Tony Ip. The misshapen subfamily of ste20 kinases regulate proliferation in the aging mammalian intestinal epithelium. Journal of Cellular Physiology, 234:21925-21936, Dec 2019. URL: https://doi.org/10.1002/jcp.28756, doi:10.1002/jcp.28756. This article has 13 citations and is from a peer-reviewed journal.</w:t>
      </w:r>
    </w:p>
    <w:p>
      <w:pPr>
        <w:numPr>
          <w:ilvl w:val="0"/>
          <w:numId w:val="1005"/>
        </w:numPr>
      </w:pPr>
      <w:r>
        <w:t xml:space="preserve">(li2019themisshapensubfamily pages 16-21): Qi Li, Niraj K. Nirala, Hsi‐Ju Chen, Yingchao Nie, Wei Wang, Biliang Zhang, Michael P. Czech, Qi Wang, Lan Xu, Junhao Mao, and Y. Tony Ip. The misshapen subfamily of ste20 kinases regulate proliferation in the aging mammalian intestinal epithelium. Journal of Cellular Physiology, 234:21925-21936, Dec 2019. URL: https://doi.org/10.1002/jcp.28756, doi:10.1002/jcp.28756. This article has 13 citations and is from a peer-reviewed journal.</w:t>
      </w:r>
    </w:p>
    <w:p>
      <w:pPr>
        <w:numPr>
          <w:ilvl w:val="0"/>
          <w:numId w:val="1005"/>
        </w:numPr>
      </w:pPr>
      <w:r>
        <w:t xml:space="preserve">(li2019themisshapensubfamily pages 4-6): Qi Li, Niraj K. Nirala, Hsi‐Ju Chen, Yingchao Nie, Wei Wang, Biliang Zhang, Michael P. Czech, Qi Wang, Lan Xu, Junhao Mao, and Y. Tony Ip. The misshapen subfamily of ste20 kinases regulate proliferation in the aging mammalian intestinal epithelium. Journal of Cellular Physiology, 234:21925-21936, Dec 2019. URL: https://doi.org/10.1002/jcp.28756, doi:10.1002/jcp.28756. This article has 13 citations and is from a peer-reviewed journal.</w:t>
      </w:r>
    </w:p>
    <w:p>
      <w:pPr>
        <w:numPr>
          <w:ilvl w:val="0"/>
          <w:numId w:val="1005"/>
        </w:numPr>
      </w:pPr>
      <w:r>
        <w:t xml:space="preserve">(li2023cellularimpactsof pages 4-6): A. Li, Tracy A. Martin, J. Lane, and Wen G Jiang. Cellular impacts of striatins and the stripak complex and their roles in the development and metastasis in clinical cancers (review). Cancers, Dec 2023. URL: https://doi.org/10.3390/cancers16010076, doi:10.3390/cancers16010076. This article has 7 citations and is from a peer-reviewed journal.</w:t>
      </w:r>
    </w:p>
    <w:p>
      <w:pPr>
        <w:numPr>
          <w:ilvl w:val="0"/>
          <w:numId w:val="1005"/>
        </w:numPr>
      </w:pPr>
      <w:r>
        <w:t xml:space="preserve">(miller2019comprehensiveprofilingof pages 1-2):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5"/>
        </w:numPr>
      </w:pPr>
      <w:r>
        <w:t xml:space="preserve">(miller2019comprehensiveprofilingof pages 24-25):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5"/>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5"/>
        </w:numPr>
      </w:pPr>
      <w:r>
        <w:t xml:space="preserve">(daulat2012mink1regulatesβcateninindependent pages 3-4): Avais M. Daulat, Olivia Luu, Anson Sing, Liang Zhang, Jeffrey L. Wrana, Helen McNeill, Rudolf Winklbauer, and Stéphane Angers. Mink1 regulates β-catenin-independent wnt signaling via prickle phosphorylation. Molecular and Cellular Biology, 32:173-185, Jan 2012. URL: https://doi.org/10.1128/mcb.06320-11, doi:10.1128/mcb.06320-11. This article has 62 citations and is from a domain leading peer-reviewed journal.</w:t>
      </w:r>
    </w:p>
    <w:p>
      <w:pPr>
        <w:numPr>
          <w:ilvl w:val="0"/>
          <w:numId w:val="1005"/>
        </w:numPr>
      </w:pPr>
      <w:r>
        <w:t xml:space="preserve">(frey2015germinalcenterkinases pages 7-9): Stefan Frey, Eva J. Reschka, and Stefanie Pöggeler. Germinal center kinases smkin3 and smkin24 are associated with the sordaria macrospora striatin-interacting phosphatase and kinase (stripak) complex. PLOS ONE, 10:e0139163, Sep 2015. URL: https://doi.org/10.1371/journal.pone.0139163, doi:10.1371/journal.pone.0139163. This article has 35 citations and is from a peer-reviewed journal.</w:t>
      </w:r>
    </w:p>
    <w:p>
      <w:pPr>
        <w:numPr>
          <w:ilvl w:val="0"/>
          <w:numId w:val="1005"/>
        </w:numPr>
      </w:pPr>
      <w:r>
        <w:t xml:space="preserve">(miller2019comprehensiveprofilingof pages 29-30):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5"/>
        </w:numPr>
      </w:pPr>
      <w:r>
        <w:t xml:space="preserve">(miller2019comprehensiveprofilingof pages 30-31):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5"/>
        </w:numPr>
      </w:pPr>
      <w:r>
        <w:t xml:space="preserve">(singh2023molecularinsightsof pages 12-13): Sunil Kumar Singh, Ruchi Roy, Sandeep Kumar, Piush Srivastava, Saket Jha, Basabi Rana, and Ajay Rana. Molecular insights of map4k4 signaling in inflammatory and malignant diseases. Cancers, 15:2272, Apr 2023. URL: https://doi.org/10.3390/cancers15082272, doi:10.3390/cancers15082272. This article has 18 citations and is from a peer-reviewed journal.</w:t>
      </w:r>
    </w:p>
    <w:p>
      <w:pPr>
        <w:numPr>
          <w:ilvl w:val="0"/>
          <w:numId w:val="1005"/>
        </w:numPr>
      </w:pPr>
      <w:r>
        <w:t xml:space="preserve">(hyodo2012misshapenlikekinase1 pages 1-2): T. Hyodo, S. Ito, Hitoki Hasegawa, Eri Asano, Masao Maeda, T. Urano, Masahide Takahashi, M. Hamaguchi, and T. Senga. Misshapen-like kinase 1 (mink1) is a novel component of striatin-interacting phosphatase and kinase (stripak) and is required for the completion of cytokinesis*. The Journal of Biological Chemistry, 287:25019-25029, Jun 2012. URL: https://doi.org/10.1074/jbc.m112.372342, doi:10.1074/jbc.m112.372342. This article has 99 citations.</w:t>
      </w:r>
    </w:p>
    <w:p>
      <w:pPr>
        <w:numPr>
          <w:ilvl w:val="0"/>
          <w:numId w:val="1005"/>
        </w:numPr>
      </w:pPr>
      <w:r>
        <w:t xml:space="preserve">(jovanovic2022themolecularbasis pages 2-4):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5"/>
        </w:numPr>
      </w:pPr>
      <w:r>
        <w:t xml:space="preserve">(jovanovic2022themolecularbasis pages 8-9):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5"/>
        </w:numPr>
      </w:pPr>
      <w:r>
        <w:t xml:space="preserve">(lestari2022placentalmammalsacquired pages 3-4):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(schwein2020theoglcnacmodification pages 27-28):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5"/>
        </w:numPr>
      </w:pPr>
      <w:r>
        <w:t xml:space="preserve">(seo2020map4kinteractomereveals pages 1-4): Gayoung Seo, Han Han, Rebecca Vargas, Bing Yang, Xu Li, and Wenqi Wang. Map4k interactome reveals strn4 as a key stripak complex component in hippo pathway regulation. Cell reports, 32 1:107860, Jul 2020. URL: https://doi.org/10.1016/j.celrep.2020.107860, doi:10.1016/j.celrep.2020.107860. This article has 58 citations and is from a highest quality peer-reviewed journal.</w:t>
      </w:r>
    </w:p>
    <w:p>
      <w:pPr>
        <w:numPr>
          <w:ilvl w:val="0"/>
          <w:numId w:val="1005"/>
        </w:numPr>
      </w:pPr>
      <w:r>
        <w:t xml:space="preserve">(zhong2025thecitronhomology pages 11-12): Xiaoling Zhong, Wenjiao Tai, Meng-Lu Liu, Shuaipeng Ma, Tianjin Shen, Yuhua Zou, and Chun-Li Zhang. The citron homology domain of map4ks improves outcomes of traumatic brain injury. Neural Regeneration Research, 20:3233-3244, Sep 2025. URL: https://doi.org/10.4103/nrr.nrr-d-24-00113, doi:10.4103/nrr.nrr-d-24-00113. This article has 0 citations and is from a peer-reviewed journal.</w:t>
      </w:r>
    </w:p>
    <w:p>
      <w:pPr>
        <w:numPr>
          <w:ilvl w:val="0"/>
          <w:numId w:val="1005"/>
        </w:numPr>
      </w:pPr>
      <w:r>
        <w:t xml:space="preserve">(jovanovic2022themolecularbasis pages 6-7): Dejana Jovanovic, Shen Yan, and Martin Baumgartner. The molecular basis of the dichotomous functionality of map4k4 in proliferation and cell motility control in cancer. Frontiers in Oncology, Dec 2022. URL: https://doi.org/10.3389/fonc.2022.1059513, doi:10.3389/fonc.2022.1059513. This article has 13 citations and is from a peer-reviewed journal.</w:t>
      </w:r>
    </w:p>
    <w:p>
      <w:pPr>
        <w:numPr>
          <w:ilvl w:val="0"/>
          <w:numId w:val="1005"/>
        </w:numPr>
      </w:pPr>
      <w:r>
        <w:t xml:space="preserve">(lestari2022placentalmammalsacquired pages 13-14):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