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PHKG1, the phosphorylase b kinase gamma catalytic subunit, is a highly conserved serine/threonine kinase that belongs to the calcium/calmodulin-dependent protein kinase (CAMK) group within the broader protein kinase–like superfamily. The protein is present predominantly in vertebrate species, with orthologs documented in human, rabbit, mouse, and rat, all of which share an amino acid sequence identity of approximately 93–94%, emphasizing its evolutionary conservation (wehner1995humancdnaencoding pages 1-2, brushia1999phosphorylasekinasethe pages 2-3). In phylogenetic analyses that integrate both sequence and structural elements, PHKG1 is grouped with other CAMK family members that are characterized by regulatory motifs responsive to calcium signaling and calmodulin binding; this classification is supported by studies that have positioned the phosphorylase kinase catalytic chains within the CAMK branch of the kinome (scheeff2005structuralevolutionof pages 5-7, tamir2020pkisdeepdive pages 20-20). The conservation of domain architecture and key catalytic residues among these orthologs underpins its placement in an ancient evolutionary lineage that dates back to the last common ancestor of eukaryotes, reflecting the indispensable role of energy metabolism control across diverse organisms (brushia1999phosphorylasekinasethe pages 2-3).</w:t>
      </w:r>
    </w:p>
    <w:p>
      <w:pPr>
        <w:numPr>
          <w:ilvl w:val="0"/>
          <w:numId w:val="1001"/>
        </w:numPr>
      </w:pPr>
      <w:r>
        <w:t xml:space="preserve">Reaction Catalyzed</w:t>
      </w:r>
      <w:r>
        <w:br/>
      </w:r>
      <w:r>
        <w:t xml:space="preserve">The enzymatic reaction catalyzed by PHKG1 involves the transfer of a phosphate group from ATP to specific serine or threonine residues on substrate proteins. In the context of glycogen metabolism, PHKG1 phosphorylates glycogen phosphorylase b—converting it to its active phosphorylase a form—which in turn facilitates glycogenolysis by liberating glucose-1-phosphate from glycogen (brushia1999phosphorylasekinasethe pages 2-3, hadad2015identifyingthemolecular pages 75-79). The reaction follows the general pattern of serine/threonine kinase-mediated phosphorylation: ATP + [protein]-OH yields ADP + [protein]-phosphate + H⁺, a process that is critical for the rapid response to neural and hormonal signals in muscle tissues (brushia1999phosphorylasekinasethe pages 2-3).</w:t>
      </w:r>
    </w:p>
    <w:p>
      <w:pPr>
        <w:numPr>
          <w:ilvl w:val="0"/>
          <w:numId w:val="1001"/>
        </w:numPr>
      </w:pPr>
      <w:r>
        <w:t xml:space="preserve">Cofactor Requirements</w:t>
      </w:r>
      <w:r>
        <w:br/>
      </w:r>
      <w:r>
        <w:t xml:space="preserve">The catalytic activity of PHKG1, like that of many protein kinases, is dependent on the presence of divalent metal ions that are essential for ATP coordination and phosphotransfer. In particular, Mg²⁺ serves as a crucial cofactor by coordinating the phosphate groups of ATP within the active site of the kinase domain (brushia1999phosphorylasekinasethe pages 1-2, humanUnknownyeardatasheet(cat. pages 1-2). Although calcium ions indirectly contribute to the regulation of the PHK holoenzyme through binding of Ca²⁺ to the delta subunit (which is calmodulin), the intrinsic catalytic function of PHKG1 necessitates Mg²⁺ as the required cofactor (brushia1999phosphorylasekinasethe pages 1-2).</w:t>
      </w:r>
    </w:p>
    <w:p>
      <w:pPr>
        <w:numPr>
          <w:ilvl w:val="0"/>
          <w:numId w:val="1001"/>
        </w:numPr>
      </w:pPr>
      <w:r>
        <w:t xml:space="preserve">Substrate Specificity</w:t>
      </w:r>
      <w:r>
        <w:br/>
      </w:r>
      <w:r>
        <w:t xml:space="preserve">PHKG1 exhibits substrate specificity that is primarily directed toward glycogen phosphorylase b, the inactive form of the enzyme that is converted to the active phosphorylase a upon phosphorylation. In vitro assays have demonstrated that PHKG1 efficiently transfers a phosphate group onto specific serine residues in glycogen phosphorylase b, a modification that is essential for initiating glycogen breakdown in muscle cells (brushia1999phosphorylasekinasethe pages 2-3, hadad2015identifyingthemolecular pages 75-79). In addition to glycogen phosphorylase, PHKG1 has been reported to phosphorylate other substrates such as TNNI3, MAPT/TAU, GAP43, and NRGN/RC3 by similar catalytic mechanisms, although the consensus substrate motif remains defined primarily by its role in glycogen metabolism (hadad2015identifyingthemolecular pages 75-79, kong2017rnasequencingfor pages 12-14).</w:t>
      </w:r>
    </w:p>
    <w:p>
      <w:pPr>
        <w:numPr>
          <w:ilvl w:val="0"/>
          <w:numId w:val="1001"/>
        </w:numPr>
      </w:pPr>
      <w:r>
        <w:t xml:space="preserve">Structure</w:t>
      </w:r>
      <w:r>
        <w:br/>
      </w:r>
      <w:r>
        <w:t xml:space="preserve">The three‐dimensional structure of PHKG1 is characterized by a domain organization that comprises an approximately 45 kDa catalytic core with a bipartite arrangement. The N-terminal region, spanning roughly the first 298 amino acids, forms the classical kinase domain with a bilobal fold that is highly reminiscent of the catalytic core of cAMP‐dependent protein kinase (PKA); this includes a small ATP-binding N-lobe comprised mostly of β-sheets and a larger substrate-binding C-lobe predominantly built from α-helices (brushia1999phosphorylasekinasethe pages 2-3, ma2025molecularbasisfor pages 2-3). The C-terminal approximately one-third of the protein functions as a regulatory domain that contains calmodulin-binding motifs and an autoinhibitory domain (AID) which, when unphosphorylated, occupies the substrate-binding pocket and prevents catalysis (ma2025molecularbasisfor pages 2-3, yang2024architectureandactivation pages 1-2). High-resolution cryo-electron microscopy studies have revealed that within the full phosphorylase kinase complex, the gamma subunit is arranged in a butterfly-like hetero-oligomeric assembly with the regulatory alpha, beta, and delta subunits, while the gamma subunit itself maintains a relatively compact catalytic structure that is modulated by other subunits (ma2025molecularbasisfor pages 3-4, yang2024architectureandactivation pages 2-3). Key structural features include an invariant C-helix that contributes to the formation of the hydrophobic spine typical of active kinases and an activation loop whose conformation is critical for substrate access (ma2025molecularbasisfor pages 3-4).</w:t>
      </w:r>
    </w:p>
    <w:p>
      <w:pPr>
        <w:numPr>
          <w:ilvl w:val="0"/>
          <w:numId w:val="1001"/>
        </w:numPr>
      </w:pPr>
      <w:r>
        <w:t xml:space="preserve">Regulation</w:t>
      </w:r>
      <w:r>
        <w:br/>
      </w:r>
      <w:r>
        <w:t xml:space="preserve">PHKG1 is regulated through multiple and interdependent mechanisms that converge on the control of glycogen breakdown. In the native phosphorylase kinase holoenzyme, the gamma subunit is maintained in an inhibited state by intramolecular interactions involving its autoinhibitory domain (AID), which blocks substrate access (brushia1999phosphorylasekinasethe pages 2-3). This autoinhibition is alleviated by phosphorylation events that occur on the regulatory alpha and beta subunits; for instance, cyclic AMP-dependent protein kinase (PKA) phosphorylates these subunits, leading to conformational shifts that reduce the inhibitory constraints on PHKG1 (brushia1999phosphorylasekinasethe pages 1-2, ma2025molecularbasisfor pages 7-8). In parallel, calcium ions bind to the delta subunit, which is, in fact, calmodulin, triggering conformational changes that are transmitted to the gamma subunit and further promote its activation by displacing the calmodulin-binding domain from an inhibitory position (ma2025molecularbasisfor pages 8-8, yang2024architectureandactivation pages 1-2). Post-translational modifications, including phosphorylation at additional sites, have been identified; for example, a novel tyrosine phosphorylation site (Y350) on PHKG1 has been reported in skeletal muscle, which may serve to modulate kinase activity under basal conditions (zhang2012noveltyrosinephosphorylation pages 10-10). Moreover, alterations in the phosphorylation state of PHKG1 have been observed in various physiological scenarios, such as during preslaughter handling in porcine muscle, where increased phosphorylation correlates with changes in enzyme activity and energy metabolism (zou2020acetylationandphosphorylation pages 20-24).</w:t>
      </w:r>
    </w:p>
    <w:p>
      <w:pPr>
        <w:numPr>
          <w:ilvl w:val="0"/>
          <w:numId w:val="1001"/>
        </w:numPr>
      </w:pPr>
      <w:r>
        <w:t xml:space="preserve">Function</w:t>
      </w:r>
      <w:r>
        <w:br/>
      </w:r>
      <w:r>
        <w:t xml:space="preserve">PHKG1 plays a central role in cellular energy homeostasis by serving as the catalytic engine within the phosphorylase kinase (PhK) holoenzyme complex. This complex is instrumental in the regulation of glycogenolysis, as PHKG1 phosphorylates glycogen phosphorylase b, thereby converting it into its active form, phosphorylase a, which catalyzes the mobilization of glucose from glycogen stores (brushia1999phosphorylasekinasethe pages 2-3, hadad2015identifyingthemolecular pages 75-79). Expression of PHKG1 is largely confined to skeletal muscle and cardiac tissue, where rapid energy release through glycogen breakdown is essential for muscle contraction and heart function (humanUnknownyeardatasheet(cat. pages 1-2, burwinkel2003muscleglycogenosiswith pages 3-5). In addition to its primary substrate, PHKG1 has been implicated in phosphorylating a range of proteins—including TNNI3, MAPT/TAU, GAP43, and NRGN/RC3—suggesting that its activity may extend to other pathways linked to signal transduction and cytoskeletal regulation (hadad2015identifyingthemolecular pages 75-79). Its role in energy metabolism is further underscored by correlations between altered PHKG1 expression or function and conditions such as muscle glycogenosis, where mutations in the PHKG1 gene result in reduced phosphorylase kinase activity and subsequent impairment of glycogen breakdown (burwinkel2003muscleglycogenosiswith pages 6-9, kimpel2007functionalgeneexpression pages 25-26). Furthermore, transcriptomic studies in various models have noted changes in PHKG1 expression under pathological conditions, including cancer cachexia, reinforcing its importance as a regulatory node in muscle energy metabolism (hadad2015identifyingthemolecular pages 72-75).</w:t>
      </w:r>
    </w:p>
    <w:p>
      <w:pPr>
        <w:numPr>
          <w:ilvl w:val="0"/>
          <w:numId w:val="1001"/>
        </w:numPr>
      </w:pPr>
      <w:r>
        <w:t xml:space="preserve">Other Comments</w:t>
      </w:r>
      <w:r>
        <w:br/>
      </w:r>
      <w:r>
        <w:t xml:space="preserve">Additional observations regarding PHKG1 include its association with muscle-specific diseases; mutations and structural alterations in PHKG1 have been linked to muscle glycogenosis, leading to muscle weakness and exercise intolerance, and are implicated as a cause of glycogen storage disease in muscle tissue (wehner1995humancdnaencoding pages 1-2, burwinkel2003muscleglycogenosiswith pages 3-5). The complexity of its regulation—mediated through phosphorylation events, calcium-dependent activation via the calmodulin-containing delta subunit, and potential modulation by tyrosine phosphorylation—suggests that PHKG1 operates within a multifaceted network that integrates hormonal, neural, and metabolic signals (brushia1999phosphorylasekinasethe pages 2-3, ma2025molecularbasisfor pages 8-8, zhang2012noveltyrosinephosphorylation pages 10-10). Although specific small-molecule inhibitors directed solely against PHKG1 have not been highlighted in the literature provided, the central role of the phosphorylase kinase complex in glycogen metabolism positions PHKG1 as a potential target for therapeutic intervention in disorders of energy metabolism and related myopathies (zou2020acetylationandphosphorylation pages 20-24). Notably, the high degree of evolutionary conservation and the critical structural features shared among CAMK family members underscore its potential as a candidate biomarker in studies of muscle physiology and metabolic disease (brushia1999phosphorylasekinasethe pages 2-3, humanUnknownyeardatasheet(cat. pages 1-2).</w:t>
      </w:r>
    </w:p>
    <w:p>
      <w:pPr>
        <w:pStyle w:val="FirstParagraph"/>
      </w:pPr>
      <w:r>
        <w:t xml:space="preserve">References</w:t>
      </w:r>
    </w:p>
    <w:p>
      <w:pPr>
        <w:numPr>
          <w:ilvl w:val="0"/>
          <w:numId w:val="1002"/>
        </w:numPr>
      </w:pPr>
      <w:r>
        <w:t xml:space="preserve">(brushia1999phosphorylasekinasethe pages 2-3):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(hadad2015identifyingthemolecular pages 75-79): AH Al Hadad. Identifying the molecular mechanisms of early cachexia using whole transcriptome sequencing in muscle and fat biopsies from cancer patients. Unknown journal, 2015.</w:t>
      </w:r>
    </w:p>
    <w:p>
      <w:pPr>
        <w:numPr>
          <w:ilvl w:val="0"/>
          <w:numId w:val="1002"/>
        </w:numPr>
      </w:pPr>
      <w:r>
        <w:t xml:space="preserve">(humanUnknownyeardatasheet(cat. pages 1-2): RGST Human. Data sheet (cat. no. tmpy-04557). Unknown journal, Unknown year.</w:t>
      </w:r>
    </w:p>
    <w:p>
      <w:pPr>
        <w:numPr>
          <w:ilvl w:val="0"/>
          <w:numId w:val="1002"/>
        </w:numPr>
      </w:pPr>
      <w:r>
        <w:t xml:space="preserve">(ma2025molecularbasisfor pages 2-3): Ruifang Ma, Bowen Du, Chen Shi, Lei Wang, Fuxing Zeng, Jie Han, Huiyi Guan, Yong Wang, and Kaige Yan. Molecular basis for the regulation of human phosphorylase kinase by phosphorylation and ca2+. Nature Communications, Mar 2025. URL: https://doi.org/10.1038/s41467-025-58363-8, doi:10.1038/s41467-025-58363-8. This article has 0 citations and is from a highest quality peer-reviewed journal.</w:t>
      </w:r>
    </w:p>
    <w:p>
      <w:pPr>
        <w:numPr>
          <w:ilvl w:val="0"/>
          <w:numId w:val="1002"/>
        </w:numPr>
      </w:pPr>
      <w:r>
        <w:t xml:space="preserve">(ma2025molecularbasisfor pages 3-4): Ruifang Ma, Bowen Du, Chen Shi, Lei Wang, Fuxing Zeng, Jie Han, Huiyi Guan, Yong Wang, and Kaige Yan. Molecular basis for the regulation of human phosphorylase kinase by phosphorylation and ca2+. Nature Communications, Mar 2025. URL: https://doi.org/10.1038/s41467-025-58363-8, doi:10.1038/s41467-025-58363-8. This article has 0 citations and is from a highest quality peer-reviewed journal.</w:t>
      </w:r>
    </w:p>
    <w:p>
      <w:pPr>
        <w:numPr>
          <w:ilvl w:val="0"/>
          <w:numId w:val="1002"/>
        </w:numPr>
      </w:pPr>
      <w:r>
        <w:t xml:space="preserve">(ma2025molecularbasisfor pages 7-8): Ruifang Ma, Bowen Du, Chen Shi, Lei Wang, Fuxing Zeng, Jie Han, Huiyi Guan, Yong Wang, and Kaige Yan. Molecular basis for the regulation of human phosphorylase kinase by phosphorylation and ca2+. Nature Communications, Mar 2025. URL: https://doi.org/10.1038/s41467-025-58363-8, doi:10.1038/s41467-025-58363-8. This article has 0 citations and is from a highest quality peer-reviewed journal.</w:t>
      </w:r>
    </w:p>
    <w:p>
      <w:pPr>
        <w:numPr>
          <w:ilvl w:val="0"/>
          <w:numId w:val="1002"/>
        </w:numPr>
      </w:pPr>
      <w:r>
        <w:t xml:space="preserve">(ma2025molecularbasisfor pages 8-8): Ruifang Ma, Bowen Du, Chen Shi, Lei Wang, Fuxing Zeng, Jie Han, Huiyi Guan, Yong Wang, and Kaige Yan. Molecular basis for the regulation of human phosphorylase kinase by phosphorylation and ca2+. Nature Communications, Mar 2025. URL: https://doi.org/10.1038/s41467-025-58363-8, doi:10.1038/s41467-025-58363-8. This article has 0 citations and is from a highest quality peer-reviewed journal.</w:t>
      </w:r>
    </w:p>
    <w:p>
      <w:pPr>
        <w:numPr>
          <w:ilvl w:val="0"/>
          <w:numId w:val="1002"/>
        </w:numPr>
      </w:pPr>
      <w:r>
        <w:t xml:space="preserve">(scheeff2005structuralevolutionof pages 5-7):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2"/>
        </w:numPr>
      </w:pPr>
      <w:r>
        <w:t xml:space="preserve">(tamir2020pkisdeepdive pages 20-20):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2"/>
        </w:numPr>
      </w:pPr>
      <w:r>
        <w:t xml:space="preserve">(wehner1995humancdnaencoding pages 1-2): Michael Wehner and ManfredW. Kilimann. Human cdna encoding the muscle isoform of the phosphorylase kinase ? subunit (phkg1). Human Genetics, 96:616-618, Nov 1995. URL: https://doi.org/10.1007/bf00197422, doi:10.1007/bf00197422. This article has 22 citations and is from a peer-reviewed journal.</w:t>
      </w:r>
    </w:p>
    <w:p>
      <w:pPr>
        <w:numPr>
          <w:ilvl w:val="0"/>
          <w:numId w:val="1002"/>
        </w:numPr>
      </w:pPr>
      <w:r>
        <w:t xml:space="preserve">(brushia1999phosphorylasekinasethe pages 1-2): R. Brushia and DONAL A. Walsh. Phosphorylase kinase: the complexity of its regulation is reflected in the complexity of its structure. Frontiers in bioscience : a journal and virtual library, 4:D618-41, Sep 1999. URL: https://doi.org/10.2741/brushia, doi:10.2741/brushia. This article has 248 citations.</w:t>
      </w:r>
    </w:p>
    <w:p>
      <w:pPr>
        <w:numPr>
          <w:ilvl w:val="0"/>
          <w:numId w:val="1002"/>
        </w:numPr>
      </w:pPr>
      <w:r>
        <w:t xml:space="preserve">(burwinkel2003muscleglycogenosiswith pages 3-5): B. Burwinkel, Bin Hu, A. Schroers, P. Clemens, S. Moses, Y. Shin, D. Pongratz, M. Vorgerd, and M. Kilimann. Muscle glycogenosis with low phosphorylase kinase activity: mutations in phka1, phkg1 or six other candidate genes explain only a minority of cases. European Journal of Human Genetics, 11:516-526, Jul 2003. URL: https://doi.org/10.1038/sj.ejhg.5200996, doi:10.1038/sj.ejhg.5200996. This article has 69 citations and is from a domain leading peer-reviewed journal.</w:t>
      </w:r>
    </w:p>
    <w:p>
      <w:pPr>
        <w:numPr>
          <w:ilvl w:val="0"/>
          <w:numId w:val="1002"/>
        </w:numPr>
      </w:pPr>
      <w:r>
        <w:t xml:space="preserve">(burwinkel2003muscleglycogenosiswith pages 6-9): B. Burwinkel, Bin Hu, A. Schroers, P. Clemens, S. Moses, Y. Shin, D. Pongratz, M. Vorgerd, and M. Kilimann. Muscle glycogenosis with low phosphorylase kinase activity: mutations in phka1, phkg1 or six other candidate genes explain only a minority of cases. European Journal of Human Genetics, 11:516-526, Jul 2003. URL: https://doi.org/10.1038/sj.ejhg.5200996, doi:10.1038/sj.ejhg.5200996. This article has 69 citations and is from a domain leading peer-reviewed journal.</w:t>
      </w:r>
    </w:p>
    <w:p>
      <w:pPr>
        <w:numPr>
          <w:ilvl w:val="0"/>
          <w:numId w:val="1002"/>
        </w:numPr>
      </w:pPr>
      <w:r>
        <w:t xml:space="preserve">(kong2017rnasequencingfor pages 12-14): Byung-Whi Kong, Nicholas Hudson, Dongwon Seo, Seok Lee, Bhuwan Khatri, Kentu Lassiter, Devin Cook, Alissa Piekarski, Sami Dridi, Nicholas Anthony, and Walter Bottje. Rna sequencing for global gene expression associated with muscle growth in a single male modern broiler line compared to a foundational barred plymouth rock chicken line. BMC Genomics, Jan 2017. URL: https://doi.org/10.1186/s12864-016-3471-y, doi:10.1186/s12864-016-3471-y. This article has 81 citations and is from a peer-reviewed journal.</w:t>
      </w:r>
    </w:p>
    <w:p>
      <w:pPr>
        <w:numPr>
          <w:ilvl w:val="0"/>
          <w:numId w:val="1002"/>
        </w:numPr>
      </w:pPr>
      <w:r>
        <w:t xml:space="preserve">(yang2024architectureandactivation pages 1-2): Xiaoke Yang, Mingqi Zhu, Xue Lu, Yuxin Wang, and Junyu Xiao. Architecture and activation of human muscle phosphorylase kinase. Nature Communications, Oct 2024. URL: https://doi.org/10.1038/s41467-024-47049-2, doi:10.1038/s41467-024-47049-2. This article has 3 citations and is from a highest quality peer-reviewed journal.</w:t>
      </w:r>
    </w:p>
    <w:p>
      <w:pPr>
        <w:numPr>
          <w:ilvl w:val="0"/>
          <w:numId w:val="1002"/>
        </w:numPr>
      </w:pPr>
      <w:r>
        <w:t xml:space="preserve">(yang2024architectureandactivation pages 2-3): Xiaoke Yang, Mingqi Zhu, Xue Lu, Yuxin Wang, and Junyu Xiao. Architecture and activation of human muscle phosphorylase kinase. Nature Communications, Oct 2024. URL: https://doi.org/10.1038/s41467-024-47049-2, doi:10.1038/s41467-024-47049-2. This article has 3 citations and is from a highest quality peer-reviewed journal.</w:t>
      </w:r>
    </w:p>
    <w:p>
      <w:pPr>
        <w:numPr>
          <w:ilvl w:val="0"/>
          <w:numId w:val="1002"/>
        </w:numPr>
      </w:pPr>
      <w:r>
        <w:t xml:space="preserve">(zhang2012noveltyrosinephosphorylation pages 10-10): Xiangmin Zhang, Kurt Højlund, Moulun Luo, Christian Meyer, Thangiah Geetha, and Zhengping Yi. Novel tyrosine phosphorylation sites in rat skeletal muscle revealed by phosphopeptide enrichment and hplc-esi-ms/ms. Journal of Proteomics, 75:4017-4026, Jul 2012. URL: https://doi.org/10.1016/j.jprot.2012.05.009, doi:10.1016/j.jprot.2012.05.009. This article has 10 citations and is from a peer-reviewed journal.</w:t>
      </w:r>
    </w:p>
    <w:p>
      <w:pPr>
        <w:numPr>
          <w:ilvl w:val="0"/>
          <w:numId w:val="1002"/>
        </w:numPr>
      </w:pPr>
      <w:r>
        <w:t xml:space="preserve">(zou2020acetylationandphosphorylation pages 20-24): Bo Zou, Di Zhao, Guangjie He, Yingqun Nian, Dandan Da, Jing Yan, and Chunbao Li. Acetylation and phosphorylation of proteins affect energy metabolism and pork quality. Journal of Agricultural and Food Chemistry, 68:7259-7268, Jun 2020. URL: https://doi.org/10.1021/acs.jafc.0c01822, doi:10.1021/acs.jafc.0c01822. This article has 32 citations and is from a highest quality peer-reviewed journal.</w:t>
      </w:r>
    </w:p>
    <w:p>
      <w:pPr>
        <w:numPr>
          <w:ilvl w:val="0"/>
          <w:numId w:val="1002"/>
        </w:numPr>
      </w:pPr>
      <w:r>
        <w:t xml:space="preserve">(hadad2015identifyingthemolecular pages 72-75): AH Al Hadad. Identifying the molecular mechanisms of early cachexia using whole transcriptome sequencing in muscle and fat biopsies from cancer patients. Unknown journal, 2015.</w:t>
      </w:r>
    </w:p>
    <w:p>
      <w:pPr>
        <w:numPr>
          <w:ilvl w:val="0"/>
          <w:numId w:val="1002"/>
        </w:numPr>
      </w:pPr>
      <w:r>
        <w:t xml:space="preserve">(kimpel2007functionalgeneexpression pages 25-26): Mark W. Kimpel, Wendy N. Strother, Jeanette N. McClintick, Lucinda G. Carr, Tiebing Liang, Howard J. Edenberg, and William J. McBride. Functional gene expression differences between inbred alcohol-preferring and –non-preferring rats in five brain regions. Alcohol, 41:95-132, Mar 2007. URL: https://doi.org/10.1016/j.alcohol.2007.03.003, doi:10.1016/j.alcohol.2007.03.003. This article has 138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2025-06-18T18:52:16Z</dcterms:created>
  <dcterms:modified xsi:type="dcterms:W3CDTF">2025-06-18T18:52:16Z</dcterms:modified>
</cp:coreProperties>
</file>

<file path=docProps/custom.xml><?xml version="1.0" encoding="utf-8"?>
<Properties xmlns="http://schemas.openxmlformats.org/officeDocument/2006/custom-properties" xmlns:vt="http://schemas.openxmlformats.org/officeDocument/2006/docPropsVTypes"/>
</file>