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Phosphatidylinositol 5-phosphate 4-kinase type‑2 alpha (PIP4K2A) is a member of the PIP4K/PIP5K family of lipid kinases that emerged early in eukaryotic evolution and is conserved within the Holozoa clade, which encompasses both multicellular metazoans and their closest unicellular relatives (khadka2019novelmolecularsignatures pages 15-17, brown2011phylogenomicsofphosphoinositide pages 1-3). In vertebrates, gene duplication events led to the evolution of three distinct PIP4K isoforms – designated as α, β, and γ – with PIP4K2A representing the α isoform; these subfamilies are distinguishable by conserved signature indels (CSIs) in the core catalytic domain that provide molecular markers for evolutionary divergence (khadka2019novelmolecularsignatures pages 3-4, khadka2019novelmolecularsignatures pages 4-7). Phylogenomic analyses consistently show that orthologs of PIP4K2A are present in various vertebrate lineages, and the evolutionary relationships among these kinases suggest that the divergence within the family is accompanied by functional specialization in regulatory and catalytic domains (brown2011phylogenomicsofphosphoinositide pages 1-3, khadka2019novelmolecularsignatures pages 15-17).</w:t>
      </w:r>
    </w:p>
    <w:p>
      <w:pPr>
        <w:numPr>
          <w:ilvl w:val="0"/>
          <w:numId w:val="1001"/>
        </w:numPr>
      </w:pPr>
      <w:r>
        <w:t xml:space="preserve">Reaction Catalyzed – PIP4K2A catalyzes a phosphorylation reaction in which phosphatidylinositol 5‑phosphate (PI5P) is converted into phosphatidylinositol 4,5‑bisphosphate (PI(4,5)P2) by transfer of a phosphate group from ATP; the overall reaction may be summarized as ATP + PI5P → ADP + PI(4,5)P2, and under certain conditions, the enzyme also exhibits GTP-dependent activity (krishnan2024theconservedbiochemical pages 1-4, khadka2019novelmolecularsignatures pages 1-3).</w:t>
      </w:r>
    </w:p>
    <w:p>
      <w:pPr>
        <w:numPr>
          <w:ilvl w:val="0"/>
          <w:numId w:val="1001"/>
        </w:numPr>
      </w:pPr>
      <w:r>
        <w:t xml:space="preserve">Cofactor Requirements – The catalytic activity of PIP4K2A is dependent on ATP serving as the phosphate donor and is enhanced by the presence of divalent metal ions such as Mg²⁺, which are required for appropriate coordination of ATP within the kinase active site (brown2011phylogenomicsofphosphoinositide pages 1-3, khadka2019novelmolecularsignatures pages 1-3).</w:t>
      </w:r>
    </w:p>
    <w:p>
      <w:pPr>
        <w:numPr>
          <w:ilvl w:val="0"/>
          <w:numId w:val="1001"/>
        </w:numPr>
      </w:pPr>
      <w:r>
        <w:t xml:space="preserve">Substrate Specificity – PIP4K2A displays stringent substrate specificity by selectively phosphorylating PI5P at the 4‑hydroxyl group of the inositol ring to generate PI(4,5)P2, with its catalytic domain exhibiting a high preference for PI5P over other phosphoinositide substrates; although the enzyme is capable of using both ATP and GTP as phosphate donors, the substrate recognition is almost exclusively geared toward PI5P (krishnan2024theconservedbiochemical pages 1-4, krishnan2024theconservedbiochemical pages 15-18).</w:t>
      </w:r>
    </w:p>
    <w:p>
      <w:pPr>
        <w:numPr>
          <w:ilvl w:val="0"/>
          <w:numId w:val="1001"/>
        </w:numPr>
      </w:pPr>
      <w:r>
        <w:t xml:space="preserve">Structure – The protein is characterized by a conserved central kinase domain that is shared across members of the PIP4K/PIP5K family and contains essential regions required for its catalytic function. This kinase domain comprises an ATP-binding region, an activation loop, and a substrate binding region; structural studies and homology modeling have identified conserved signature indels (CSIs) within the catalytic domain that distinguish PIP4K isoforms from PIP5K homologs (khadka2019novelmolecularsignatures pages 15-17, khadka2019novelmolecularsignatures pages 12-15). Although no high-resolution crystal structure specifically for PIP4K2A has been reported, comparison to structurally characterized relatives such as PIP5K1A and PIP4K2B indicates that the overall fold resembles that of a protein kinase, with a bilobal organization composed of an N‑lobe (predominantly β‐strands) and a C‑lobe (mainly α‑helices) that together form the active site (hu2015resolutionofstructure pages 3-4, brown2011phylogenomicsofphosphoinositide pages 4-6). In addition, several surface-exposed loops harboring the CSIs may contribute to isoform-specific protein–protein or protein–ligand interactions, and differences in dimerization interfaces, as observed in structural comparisons among related kinases, further support a role for these regions in regulating enzymatic activity (khadka2019novelmolecularsignatures pages 15-17, hu2015resolutionofstructure pages 3-4).</w:t>
      </w:r>
    </w:p>
    <w:p>
      <w:pPr>
        <w:numPr>
          <w:ilvl w:val="0"/>
          <w:numId w:val="1001"/>
        </w:numPr>
      </w:pPr>
      <w:r>
        <w:t xml:space="preserve">Regulation – The regulation of PIP4K2A involves multiple mechanisms that include conformational changes, phosphorylation events, and dimerization. Site-directed mutagenesis studies of conserved residues in the activation loop and ATP-binding motifs have confirmed their critical importance for kinase activity, and alterations in these regions significantly affect catalytic function without necessarily impacting subcellular localization (krishnan2024theconservedbiochemical pages 15-18). Moreover, regulation by dimerization has been described in structurally related kinases, where the formation of dimers via specific interfaces modulates enzymatic activity through stabilization of the active conformation; such mechanisms are inferred for PIP4K2A based on comparisons with PIP5K1A and PIP4K2B (hu2015resolutionofstructure pages 3-4, khadka2019novelmolecularsignatures pages 17-19). Additionally, isoform-specific regulatory elements, including differential splice variants and distinct N‑ and C‑terminal regions, contribute to the control of PIP4K2A function by governing its intracellular distribution in compartments such as the cytosol, nucleus, and membranes (khadka2019novelmolecularsignatures pages 20-21).</w:t>
      </w:r>
    </w:p>
    <w:p>
      <w:pPr>
        <w:numPr>
          <w:ilvl w:val="0"/>
          <w:numId w:val="1001"/>
        </w:numPr>
      </w:pPr>
      <w:r>
        <w:t xml:space="preserve">Function – PIP4K2A plays a central role in the regulation of phosphoinositide metabolism by catalyzing the conversion of PI5P to PI(4,5)P2, a critical second messenger in cellular signaling pathways; this reaction directly influences signal transduction processes such as the activation of AKT in the cytosol and ING2‑mediated signaling in the nucleus (krishnan2024theconservedbiochemical pages 1-4, khadka2019novelmolecularsignatures pages 1-3). Through its enzymatic activity, PIP4K2A helps regulate key cellular processes that include autophagy, as it participates in autophagosome–lysosome fusion and lipid metabolism under conditions of nutrient stress together with PIP4K2B (krishnan2024theconservedbiochemical pages 25-29). In addition, by controlling the levels of PI(4,5)P2, PIP4K2A contributes to the maintenance of membrane dynamics that are essential for lysosome–peroxisome membrane contacts and intracellular cholesterol transport (thiriet2011plasmamembrane pages 10-13). The enzyme is also implicated in receptor tyrosine kinase (RTK) signaling, where the modulation of phosphoinositide levels supports cell growth, proliferation, and metabolic regulation (khadka2019novelmolecularsignatures pages 17-19, krishnan2024theconservedbiochemical pages 1-4). Expression of PIP4K2A in diverse cellular compartments such as the cytosol, endoplasmic reticulum, and nucleus underscores its versatile involvement in intracellular signaling circuits (khadka2019novelmolecularsignatures pages 1-3).</w:t>
      </w:r>
    </w:p>
    <w:p>
      <w:pPr>
        <w:numPr>
          <w:ilvl w:val="0"/>
          <w:numId w:val="1001"/>
        </w:numPr>
      </w:pPr>
      <w:r>
        <w:t xml:space="preserve">Other Comments – Unique structural features of PIP4K2A include the presence of conserved signature indels (CSIs) within its catalytic domain, which serve as molecular signatures differentiating it from PIP5K homologs; these CSIs potentially influence substrate binding and protein–protein interactions (khadka2019novelmolecularsignatures pages 15-17, khadka2019novelmolecularsignatures pages 3-4). Although small molecule inhibitors have been explored for the broader PIP4K family, reported compounds such as the ones tested in some investigations did not inhibit PIP4K2A activity under the conditions examined, and thus no definitive inhibitor with absolute specificity for PIP4K2A has been established within the referenced peer-reviewed literature (hu2015resolutionofstructure pages 3-4). Additionally, PIP4K2A is implicated in a variety of cellular processes linked to metabolic regulation and cell growth, and its modulation is associated with key aspects of lipid signaling during conditions of nutrient stress; while these functions have drawn attention in the context of cancer biology and metabolic disorders, explicit disease-associated mutations and their functional impacts have not been comprehensively cataloged in the available literature (khadka2019novelmolecularsignatures pages 17-19, thiriet2011plasmamembrane pages 10-13).</w:t>
      </w:r>
    </w:p>
    <w:p>
      <w:pPr>
        <w:numPr>
          <w:ilvl w:val="0"/>
          <w:numId w:val="1001"/>
        </w:numPr>
      </w:pPr>
      <w:r>
        <w:t xml:space="preserve">References –</w:t>
      </w:r>
      <w:r>
        <w:br/>
      </w:r>
    </w:p>
    <w:p>
      <w:pPr>
        <w:numPr>
          <w:ilvl w:val="0"/>
          <w:numId w:val="1001"/>
        </w:numPr>
      </w:pPr>
      <w:r>
        <w:t xml:space="preserve">Khadka, B. and Gupta, R.S., Novel molecular signatures in the pip4k/pip5k family of proteins specific for different isozymes and subfamilies provide important insights into the evolutionary divergence of this protein family. Genes, Apr 2019 (khadka2019novelmolecularsignatures pages 15-17, khadka2019novelmolecularsignatures pages 3-4, khadka2019novelmolecularsignatures pages 4-7).</w:t>
      </w:r>
      <w:r>
        <w:br/>
      </w:r>
    </w:p>
    <w:p>
      <w:pPr>
        <w:numPr>
          <w:ilvl w:val="0"/>
          <w:numId w:val="1001"/>
        </w:numPr>
      </w:pPr>
      <w:r>
        <w:t xml:space="preserve">Brown, J.R. and Auger, K.R., Phylogenomics of phosphoinositide lipid kinases: perspectives on the evolution of second messenger signaling and drug discovery. BMC Evolutionary Biology, 11:4-4, Jan 2011 (brown2011phylogenomicsofphosphoinositide pages 1-3, brown2011phylogenomicsofphosphoinositide pages 4-6).</w:t>
      </w:r>
      <w:r>
        <w:br/>
      </w:r>
    </w:p>
    <w:p>
      <w:pPr>
        <w:numPr>
          <w:ilvl w:val="0"/>
          <w:numId w:val="1001"/>
        </w:numPr>
      </w:pPr>
      <w:r>
        <w:t xml:space="preserve">Hu, J. et al., Resolution of structure of pip5k1a reveals molecular mechanism for its regulation by dimerization and dishevelled. Nature Communications, Sep 2015 (hu2015resolutionofstructure pages 3-4).</w:t>
      </w:r>
      <w:r>
        <w:br/>
      </w:r>
    </w:p>
    <w:p>
      <w:pPr>
        <w:numPr>
          <w:ilvl w:val="0"/>
          <w:numId w:val="1001"/>
        </w:numPr>
      </w:pPr>
      <w:r>
        <w:t xml:space="preserve">Thiriet, M., Plasma membrane. In Biomathematical and Biomechanical Modeling of the Circulatory and Ventilatory Systems, Jan 2011 (thiriet2011plasmamembrane pages 10-13).</w:t>
      </w:r>
    </w:p>
    <w:p>
      <w:pPr>
        <w:pStyle w:val="FirstParagraph"/>
      </w:pPr>
      <w:r>
        <w:t xml:space="preserve">References</w:t>
      </w:r>
    </w:p>
    <w:p>
      <w:pPr>
        <w:numPr>
          <w:ilvl w:val="0"/>
          <w:numId w:val="1002"/>
        </w:numPr>
      </w:pPr>
      <w:r>
        <w:t xml:space="preserve">(khadka2019novelmolecularsignatures pages 15-17):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(krishnan2024theconservedbiochemical pages 25-29): Harini Krishnan, Suhail Muzaffar, Sanjeev Sharma, Visvanathan Ramya, Avishek Ghosh, Ramanathan Sowdhamini, and Padinjat Raghu. The conserved biochemical activity and function of an early metazoan phosphatidylinositol 5 phosphate 4-kinase regulates growth and development. BioRxiv, Aug 2024. URL: https://doi.org/10.1101/2024.08.01.606031, doi:10.1101/2024.08.01.606031. This article has 0 citations.</w:t>
      </w:r>
    </w:p>
    <w:p>
      <w:pPr>
        <w:numPr>
          <w:ilvl w:val="0"/>
          <w:numId w:val="1002"/>
        </w:numPr>
      </w:pPr>
      <w:r>
        <w:t xml:space="preserve">(brown2011phylogenomicsofphosphoinositide pages 1-3):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(brown2011phylogenomicsofphosphoinositide pages 4-6): James R Brown and Kurt R Auger. Phylogenomics of phosphoinositide lipid kinases: perspectives on the evolution of second messenger signaling and drug discovery. BMC Evolutionary Biology, 11:4-4, Jan 2011. URL: https://doi.org/10.1186/1471-2148-11-4, doi:10.1186/1471-2148-11-4. This article has 129 citations.</w:t>
      </w:r>
    </w:p>
    <w:p>
      <w:pPr>
        <w:numPr>
          <w:ilvl w:val="0"/>
          <w:numId w:val="1002"/>
        </w:numPr>
      </w:pPr>
      <w:r>
        <w:t xml:space="preserve">(hu2015resolutionofstructure pages 3-4): Jian Hu, Qianying Yuan, Xue Kang, Yuanbo Qin, Lin Li, Y. Ha, and Dianqing Wu. Resolution of structure of pip5k1a reveals molecular mechanism for its regulation by dimerization and dishevelled. Nature Communications, Sep 2015. URL: https://doi.org/10.1038/ncomms9205, doi:10.1038/ncomms9205. This article has 59 citations and is from a highest quality peer-reviewed journal.</w:t>
      </w:r>
    </w:p>
    <w:p>
      <w:pPr>
        <w:numPr>
          <w:ilvl w:val="0"/>
          <w:numId w:val="1002"/>
        </w:numPr>
      </w:pPr>
      <w:r>
        <w:t xml:space="preserve">(khadka2019novelmolecularsignatures pages 1-3):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(khadka2019novelmolecularsignatures pages 12-15):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(khadka2019novelmolecularsignatures pages 17-19):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(khadka2019novelmolecularsignatures pages 20-21):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(khadka2019novelmolecularsignatures pages 3-4):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(khadka2019novelmolecularsignatures pages 4-7): Bijendra Khadka and Radhey S. Gupta. Novel molecular signatures in the pip4k/pip5k family of proteins specific for different isozymes and subfamilies provide important insights into the evolutionary divergence of this protein family. Genes, Apr 2019. URL: https://doi.org/10.3390/genes10040312, doi:10.3390/genes10040312. This article has 14 citations and is from a peer-reviewed journal.</w:t>
      </w:r>
    </w:p>
    <w:p>
      <w:pPr>
        <w:numPr>
          <w:ilvl w:val="0"/>
          <w:numId w:val="1002"/>
        </w:numPr>
      </w:pPr>
      <w:r>
        <w:t xml:space="preserve">(krishnan2024theconservedbiochemical pages 1-4): Harini Krishnan, Suhail Muzaffar, Sanjeev Sharma, Visvanathan Ramya, Avishek Ghosh, Ramanathan Sowdhamini, and Padinjat Raghu. The conserved biochemical activity and function of an early metazoan phosphatidylinositol 5 phosphate 4-kinase regulates growth and development. BioRxiv, Aug 2024. URL: https://doi.org/10.1101/2024.08.01.606031, doi:10.1101/2024.08.01.606031. This article has 0 citations.</w:t>
      </w:r>
    </w:p>
    <w:p>
      <w:pPr>
        <w:numPr>
          <w:ilvl w:val="0"/>
          <w:numId w:val="1002"/>
        </w:numPr>
      </w:pPr>
      <w:r>
        <w:t xml:space="preserve">(krishnan2024theconservedbiochemical pages 15-18): Harini Krishnan, Suhail Muzaffar, Sanjeev Sharma, Visvanathan Ramya, Avishek Ghosh, Ramanathan Sowdhamini, and Padinjat Raghu. The conserved biochemical activity and function of an early metazoan phosphatidylinositol 5 phosphate 4-kinase regulates growth and development. BioRxiv, Aug 2024. URL: https://doi.org/10.1101/2024.08.01.606031, doi:10.1101/2024.08.01.606031. This article has 0 citations.</w:t>
      </w:r>
    </w:p>
    <w:p>
      <w:pPr>
        <w:numPr>
          <w:ilvl w:val="0"/>
          <w:numId w:val="1002"/>
        </w:numPr>
      </w:pPr>
      <w:r>
        <w:t xml:space="preserve">(thiriet2011plasmamembrane pages 10-13): M Thiriet M Thiriet. Plasma membrane. Biomathematical and Biomechanical Modeling of the Circulatory and Ventilatory Systems, pages 383-484, Jan 2011. URL: https://doi.org/10.1007/978-1-4419-9758-6_8, doi:10.1007/978-1-4419-9758-6_8. This article has 1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2025-06-18T18:52:50Z</dcterms:created>
  <dcterms:modified xsi:type="dcterms:W3CDTF">2025-06-18T18:52:50Z</dcterms:modified>
</cp:coreProperties>
</file>

<file path=docProps/custom.xml><?xml version="1.0" encoding="utf-8"?>
<Properties xmlns="http://schemas.openxmlformats.org/officeDocument/2006/custom-properties" xmlns:vt="http://schemas.openxmlformats.org/officeDocument/2006/docPropsVTypes"/>
</file>