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AMP‐activated protein kinase catalytic subunit alpha‑1 (PRKAA1, also known as AMPK1) belongs to the highly conserved family of AMP‐activated protein kinases that are present in all eukaryotes. This protein is evolutionarily related to yeast SNF1 and plant SnRK1, indicating that the kinase originated prior to the divergence of yeast, plants, and animals (sanz2008ampactivatedproteinkinase pages 1-5). In mammals, two distinct catalytic isoforms—alpha‑1 and alpha‑2—are expressed, with the alpha‑1 isoform being ubiquitously expressed and maintaining a central role in cellular energy homeostasis (hardie2012ampactivatedproteinkinase pages 1-2). The conservation of domain architecture across species, as well as the presence of orthologous regulatory subunits, places AMPK within an evolutionarily ancient core of energy‐sensing kinases that are traceable back to the Last Eukaryotic Common Ancestor (arad2007ampactivatedproteinkinase pages 1-3, sanz2008ampactivatedproteinkinase pages 14-17). In the wider kinome, AMPK alpha‑1 shares structural and mechanistic features with other serine/threonine kinases and is grouped with kinases that are tightly regulated by adenine nucleotide binding and phosphorylation events (kurumbail2016structureandregulation pages 1-4).</w:t>
      </w:r>
    </w:p>
    <w:p>
      <w:pPr>
        <w:numPr>
          <w:ilvl w:val="0"/>
          <w:numId w:val="1001"/>
        </w:numPr>
      </w:pPr>
      <w:r>
        <w:t xml:space="preserve">Reaction Catalyzed</w:t>
      </w:r>
      <w:r>
        <w:br/>
      </w:r>
      <w:r>
        <w:t xml:space="preserve">AMPK alpha‑1 catalyzes the phosphorylation of serine or threonine residues on target proteins using ATP as a phosphate donor. The general reaction can be written as:</w:t>
      </w:r>
      <w:r>
        <w:br/>
      </w:r>
      <w:r>
        <w:t xml:space="preserve">  ATP + [protein]-(L-serine or L-threonine) → ADP + [protein]-(L-serine/threonine)-phosphate + H⁺ (sanz2008ampactivatedproteinkinase pages 5-8, arad2007ampactivatedproteinkinase pages 1-3).</w:t>
      </w:r>
    </w:p>
    <w:p>
      <w:pPr>
        <w:numPr>
          <w:ilvl w:val="0"/>
          <w:numId w:val="1001"/>
        </w:numPr>
      </w:pPr>
      <w:r>
        <w:t xml:space="preserve">Cofactor Requirements</w:t>
      </w:r>
      <w:r>
        <w:br/>
      </w:r>
      <w:r>
        <w:t xml:space="preserve">Catalytic activity of AMPK alpha‑1 requires divalent metal ions for its kinase function. Specifically, Mg²⁺ is essential for ATP binding and proper enzymatic activity, serving as a cofactor in the phosphoryl transfer reaction (hardie2012ampactivatedproteinkinase pages 1-2, sanz2008ampactivatedproteinkinase pages 5-8).</w:t>
      </w:r>
    </w:p>
    <w:p>
      <w:pPr>
        <w:numPr>
          <w:ilvl w:val="0"/>
          <w:numId w:val="1001"/>
        </w:numPr>
      </w:pPr>
      <w:r>
        <w:t xml:space="preserve">Substrate Specificity</w:t>
      </w:r>
      <w:r>
        <w:br/>
      </w:r>
      <w:r>
        <w:t xml:space="preserve">AMPK alpha‑1 phosphorylates a broad range of substrates that are central to cellular metabolic control. Its direct substrates include key metabolic enzymes such as acetyl‐CoA carboxylase (ACACA and ACACB), hormone‑sensitive lipase (LIPE), and regulatory proteins involved in insulin signalling and autophagy (arad2007ampactivatedproteinkinase pages 1-3, sanz2008ampactivatedproteinkinase pages 14-17). Although a precise consensus sequence for phosphorylation is not detailed in the provided context, the enzyme typically targets serine/threonine residues in regulatory regions of metabolic proteins, thereby modulating their activity in response to cellular energy status (li2019ampkandautophagy pages 97-100).</w:t>
      </w:r>
    </w:p>
    <w:p>
      <w:pPr>
        <w:numPr>
          <w:ilvl w:val="0"/>
          <w:numId w:val="1001"/>
        </w:numPr>
      </w:pPr>
      <w:r>
        <w:t xml:space="preserve">Structure</w:t>
      </w:r>
      <w:r>
        <w:br/>
      </w:r>
      <w:r>
        <w:t xml:space="preserve">The catalytic subunit alpha‑1 of AMPK is approximately 63 kDa and is composed of multiple distinct regions that together form the structural basis for its kinase activity and regulation. The N‑terminal region contains a classical serine/threonine kinase domain that is organized into a small N‑lobe and a larger C‑lobe, a configuration typical of protein kinases (sanz2008ampactivatedproteinkinase pages 1-5). Within this domain lies the activation loop, which includes a critical threonine residue (Thr172 in AMPK‑α2; Thr174 in AMPK‑α1) whose phosphorylation increases kinase activity by more than 100-fold (hardie2011ampactivatedproteinkinase pages 2-3, saiу2010structuralandfunctional pages 11-16). Directly following the kinase domain is an autoinhibitory domain (AID) that serves to restrain enzymatic activity in the absence of allosteric activators (kurumbail2016structureandregulation pages 4-6). Adjacent to the AID, a flexible linker region containing regulatory interacting motifs (α-RIM1 and α-RIM2) connects the catalytic core to the C‑terminal region, which participates in interactions with the regulatory beta and gamma subunits (kurumbail2016structureandregulation pages 15-17, kurumbail2016structureandregulation pages 17-19). This C‑terminal domain also contains nuclear export sequences and a serine/threonine-rich loop, which is subject to additional post‑translational modifications. Structural studies have revealed that the kinase domain possesses key catalytic features such as a well‑defined ATP binding cleft, a correctly oriented C-helix, and a hydrophobic spine that are essential for substrate phosphorylation (saiу2010structuralandfunctional pages 16-21, sanz2008ampactivatedproteinkinase pages 40-46). The overall three-dimensional structure, as elucidated by crystallographic studies and supported by AlphaFold predictions, shows an elongated arrangement that allows dynamic interactions between the subunits of the AMPK heterotrimer (kurumbail2016structureandregulation pages 12-15).</w:t>
      </w:r>
    </w:p>
    <w:p>
      <w:pPr>
        <w:numPr>
          <w:ilvl w:val="0"/>
          <w:numId w:val="1001"/>
        </w:numPr>
      </w:pPr>
      <w:r>
        <w:t xml:space="preserve">Regulation</w:t>
      </w:r>
      <w:r>
        <w:br/>
      </w:r>
      <w:r>
        <w:t xml:space="preserve">Regulation of AMPK alpha‑1 is achieved through multiple layers of control including allosteric activation, phosphorylation, and post‑translational modifications. A key regulatory mechanism is the phosphorylation of the activation loop threonine (Thr174 in AMPK‑α1), which is performed by upstream kinases such as LKB1, Ca²⁺/calmodulin-dependent protein kinase kinase‑β (CaMKKβ), and under certain conditions by TAK1 (arad2007ampactivatedproteinkinase pages 3-4, li2019ampkandautophagy pages 97-100, salt2017ampactivatedproteinkinase pages 1-2). Binding of AMP (and to a lesser extent ADP) to the gamma subunit allosterically promotes this phosphorylation and simultaneously protects the phosphorylated threonine from dephosphorylation by phosphatases, including PP2A and PP2C (hardie2011ampactivatedproteinkinase pages 2-3, russell2020ampactivatedproteinkinase pages 23-24). In addition to phosphorylation, AMPK alpha‑1 is subject to various post‑translational modifications that modulate its activity. These include ubiquitination events that can mark the protein for proteasomal degradation, as well as additional phosphorylation events within the serine/threonine‑rich (ST) loop that can negatively regulate activation by interfering with LKB1-mediated phosphorylation (ovens2021posttranslationalmodificationsof pages 5-6, ovens2021posttranslationalmodificationsof pages 12-14). The autoinhibitory domain (AID) of AMPK alpha‑1 also plays a significant role in maintaining the enzyme in an inactive conformation until appropriate allosteric signals relieve the inhibition (kurumbail2016structureandregulation pages 4-6, salt2017ampactivatedproteinkinase pages 2-3). This multi‑layered regulatory network ensures that AMPK is activated only under conditions of energetic stress, thereby coordinating downstream metabolic responses (tarasiuk2022ampkanddiseases pages 1-3, hardie2011ampactivatedproteinkinase pages 3-4).</w:t>
      </w:r>
    </w:p>
    <w:p>
      <w:pPr>
        <w:numPr>
          <w:ilvl w:val="0"/>
          <w:numId w:val="1001"/>
        </w:numPr>
      </w:pPr>
      <w:r>
        <w:t xml:space="preserve">Function</w:t>
      </w:r>
      <w:r>
        <w:br/>
      </w:r>
      <w:r>
        <w:t xml:space="preserve">AMPK alpha‑1 functions as the catalytic core of the heterotrimeric AMPK complex and is a central regulator of cellular energy homeostasis. In response to a reduction in intracellular ATP levels and a concomitant increase in AMP or ADP, AMPK alpha‑1 is activated via phosphorylation and allosteric mechanisms, leading to the stimulation of catabolic pathways that generate ATP while inhibiting anabolic pathways that consume ATP (arad2007ampactivatedproteinkinase pages 1-3, wang2012ampactivatedproteinkinase pages 1-2). Its substrates include metabolic enzymes such as acetyl‑CoA carboxylase (regulating fatty acid synthesis and oxidation), hormone‑sensitive lipase (involved in lipid mobilization), and various proteins that modulate glucose uptake via the translocation of GLUT4 in muscle tissues (sanz2008ampactivatedproteinkinase pages 14-17, tarasiuk2022ampkanddiseases pages 5-6). AMPK alpha‑1 also phosphorylates transcriptional regulators—including FOXO3, p53, and TORC2—to affect gene expression programs related to mitochondrial biogenesis, autophagy, and cell cycle control (sanz2008ampactivatedproteinkinase pages 5-8, li2019ampkandautophagy pages 97-100). In the liver, it plays a critical role in regulating glucose homeostasis by controlling pathways that balance gluconeogenesis and glycolysis. Moreover, AMPK alpha‑1 is implicated in the regulation of cell growth and proliferation through its inhibitory effects on the mTORC1 complex via phosphorylation of RPTOR and activation of TSC2 (arad2007ampactivatedproteinkinase pages 4-5, tarasiuk2022ampkanddiseases pages 3-5). The enzyme is expressed widely across tissues, including in cardiac, skeletal muscle, liver, brain, and pancreatic cells, and contributes to adaptive responses during stress, such as ischemia, exercise, and nutrient deprivation (steinberg2009ampkinhealth pages 1-2, russell2020ampactivatedproteinkinase pages 23-24).</w:t>
      </w:r>
    </w:p>
    <w:p>
      <w:pPr>
        <w:numPr>
          <w:ilvl w:val="0"/>
          <w:numId w:val="1001"/>
        </w:numPr>
      </w:pPr>
      <w:r>
        <w:t xml:space="preserve">Other Comments</w:t>
      </w:r>
      <w:r>
        <w:br/>
      </w:r>
      <w:r>
        <w:t xml:space="preserve">Several small molecules and pharmacological compounds have been developed to modulate AMPK activity, with some designed to specifically activate AMPK via the allosteric drug and metabolite (ADaM) site located at the interface between the alpha and beta subunits (kurumbail2016structureandregulation pages 6-9, smiles2024themetabolicsensor pages 2-3). Agents such as metformin and salicylate are known to indirectly activate AMPK and are under investigation for their potential in treating metabolic diseases including type 2 diabetes and non‑alcoholic fatty liver disease (wang2012ampactivatedproteinkinase pages 1-2, tarasiuk2022ampkanddiseases pages 5-6). Disease associations for AMPK alpha‑1 include its involvement in cancer, where alterations in upstream kinases like LKB1 and downstream effects on mTOR signaling have been noted, as well as in cardiac hypertrophy and neurodegenerative conditions where energy imbalance is a key factor (steinberg2009ampkinhealth pages 7-8, russell2020ampactivatedproteinkinase pages 4-6). Furthermore, aberrant post‑translational modifications such as increased ubiquitination or mis‑regulation of inhibitory phosphorylations have been linked to metabolic syndrome and insulin resistance (ovens2021posttranslationalmodificationsof pages 7-9, ovens2021posttranslationalmodificationsof pages 9-10). The kinase also exhibits tau‑protein kinase activity, with potential implications in tau pathology although the in vivo relevance of this activity remains to be fully established (arad2007ampactivatedproteinkinase pages 4-5). These additional layers of regulation and their disease associations underscore the clinical significance of AMPK alpha‑1 as a therapeutic target (smiles2024themetabolicsensor pages 26-27).</w:t>
      </w:r>
    </w:p>
    <w:p>
      <w:pPr>
        <w:numPr>
          <w:ilvl w:val="0"/>
          <w:numId w:val="1001"/>
        </w:numPr>
      </w:pPr>
      <w:r>
        <w:t xml:space="preserve">References</w:t>
      </w:r>
      <w:r>
        <w:br/>
      </w:r>
      <w:r>
        <w:t xml:space="preserve">arad2007ampactivatedproteinkinase pages 1-3;</w:t>
      </w:r>
      <w:r>
        <w:br/>
      </w:r>
      <w:r>
        <w:t xml:space="preserve">arad2007ampactivatedproteinkinase pages 3-4;</w:t>
      </w:r>
      <w:r>
        <w:br/>
      </w:r>
      <w:r>
        <w:t xml:space="preserve">arad2007ampactivatedproteinkinase pages 4-5;</w:t>
      </w:r>
      <w:r>
        <w:br/>
      </w:r>
      <w:r>
        <w:t xml:space="preserve">hardie2012ampactivatedproteinkinase pages 1-2;</w:t>
      </w:r>
      <w:r>
        <w:br/>
      </w:r>
      <w:r>
        <w:t xml:space="preserve">hardie2011ampactivatedproteinkinase pages 2-3;</w:t>
      </w:r>
      <w:r>
        <w:br/>
      </w:r>
      <w:r>
        <w:t xml:space="preserve">hardie2011ampactivatedproteinkinase pages 3-4;</w:t>
      </w:r>
      <w:r>
        <w:br/>
      </w:r>
      <w:r>
        <w:t xml:space="preserve">kurumbail2016structureandregulation pages 1-4;</w:t>
      </w:r>
      <w:r>
        <w:br/>
      </w:r>
      <w:r>
        <w:t xml:space="preserve">kurumbail2016structureandregulation pages 4-6;</w:t>
      </w:r>
      <w:r>
        <w:br/>
      </w:r>
      <w:r>
        <w:t xml:space="preserve">kurumbail2016structureandregulation pages 12-15;</w:t>
      </w:r>
      <w:r>
        <w:br/>
      </w:r>
      <w:r>
        <w:t xml:space="preserve">kurumbail2016structureandregulation pages 15-17;</w:t>
      </w:r>
      <w:r>
        <w:br/>
      </w:r>
      <w:r>
        <w:t xml:space="preserve">kurumbail2016structureandregulation pages 17-19;</w:t>
      </w:r>
      <w:r>
        <w:br/>
      </w:r>
      <w:r>
        <w:t xml:space="preserve">kurumbail2016structureandregulation pages 19-20;</w:t>
      </w:r>
      <w:r>
        <w:br/>
      </w:r>
      <w:r>
        <w:t xml:space="preserve">kurumbail2016structureandregulation pages 6-9;</w:t>
      </w:r>
      <w:r>
        <w:br/>
      </w:r>
      <w:r>
        <w:t xml:space="preserve">li2019ampkandautophagy pages 97-100;</w:t>
      </w:r>
      <w:r>
        <w:br/>
      </w:r>
      <w:r>
        <w:t xml:space="preserve">li2019ampkandautophagy pages 100-103;</w:t>
      </w:r>
      <w:r>
        <w:br/>
      </w:r>
      <w:r>
        <w:t xml:space="preserve">ovens2021posttranslationalmodificationsof pages 1-2;</w:t>
      </w:r>
      <w:r>
        <w:br/>
      </w:r>
      <w:r>
        <w:t xml:space="preserve">ovens2021posttranslationalmodificationsof pages 2-5;</w:t>
      </w:r>
      <w:r>
        <w:br/>
      </w:r>
      <w:r>
        <w:t xml:space="preserve">ovens2021posttranslationalmodificationsof pages 5-6;</w:t>
      </w:r>
      <w:r>
        <w:br/>
      </w:r>
      <w:r>
        <w:t xml:space="preserve">ovens2021posttranslationalmodificationsof pages 6-7;</w:t>
      </w:r>
      <w:r>
        <w:br/>
      </w:r>
      <w:r>
        <w:t xml:space="preserve">ovens2021posttranslationalmodificationsof pages 7-9;</w:t>
      </w:r>
      <w:r>
        <w:br/>
      </w:r>
      <w:r>
        <w:t xml:space="preserve">ovens2021posttranslationalmodificationsof pages 9-10;</w:t>
      </w:r>
      <w:r>
        <w:br/>
      </w:r>
      <w:r>
        <w:t xml:space="preserve">ross2016amp‐activatedproteinkinase pages 1-2;</w:t>
      </w:r>
      <w:r>
        <w:br/>
      </w:r>
      <w:r>
        <w:t xml:space="preserve">russell2020ampactivatedproteinkinase pages 2-4;</w:t>
      </w:r>
      <w:r>
        <w:br/>
      </w:r>
      <w:r>
        <w:t xml:space="preserve">russell2020ampactivatedproteinkinase pages 23-24;</w:t>
      </w:r>
      <w:r>
        <w:br/>
      </w:r>
      <w:r>
        <w:t xml:space="preserve">russell2020ampactivatedproteinkinase pages 4-6;</w:t>
      </w:r>
      <w:r>
        <w:br/>
      </w:r>
      <w:r>
        <w:t xml:space="preserve">saiu2010structuralandfunctional pages 11-16;</w:t>
      </w:r>
      <w:r>
        <w:br/>
      </w:r>
      <w:r>
        <w:t xml:space="preserve">saiu2010structuralandfunctional pages 16-21;</w:t>
      </w:r>
      <w:r>
        <w:br/>
      </w:r>
      <w:r>
        <w:t xml:space="preserve">saiu2010structuralandfunctional pages 21-25;</w:t>
      </w:r>
      <w:r>
        <w:br/>
      </w:r>
      <w:r>
        <w:t xml:space="preserve">saiu2010structuralandfunctional pages 25-29;</w:t>
      </w:r>
      <w:r>
        <w:br/>
      </w:r>
      <w:r>
        <w:t xml:space="preserve">saiu2010structuralandfunctional pages 154-157;</w:t>
      </w:r>
      <w:r>
        <w:br/>
      </w:r>
      <w:r>
        <w:t xml:space="preserve">salt2017ampactivatedproteinkinase pages 1-2;</w:t>
      </w:r>
      <w:r>
        <w:br/>
      </w:r>
      <w:r>
        <w:t xml:space="preserve">salt2017ampactivatedproteinkinase pages 2-3;</w:t>
      </w:r>
      <w:r>
        <w:br/>
      </w:r>
      <w:r>
        <w:t xml:space="preserve">sanz2008ampactivatedproteinkinase pages 1-5;</w:t>
      </w:r>
      <w:r>
        <w:br/>
      </w:r>
      <w:r>
        <w:t xml:space="preserve">sanz2008ampactivatedproteinkinase pages 5-8;</w:t>
      </w:r>
      <w:r>
        <w:br/>
      </w:r>
      <w:r>
        <w:t xml:space="preserve">sanz2008ampactivatedproteinkinase pages 14-17;</w:t>
      </w:r>
      <w:r>
        <w:br/>
      </w:r>
      <w:r>
        <w:t xml:space="preserve">sanz2008ampactivatedproteinkinase pages 40-46;</w:t>
      </w:r>
      <w:r>
        <w:br/>
      </w:r>
      <w:r>
        <w:t xml:space="preserve">smiles2024themetabolicsensor pages 1-2;</w:t>
      </w:r>
      <w:r>
        <w:br/>
      </w:r>
      <w:r>
        <w:t xml:space="preserve">smiles2024themetabolicsensor pages 2-3;</w:t>
      </w:r>
      <w:r>
        <w:br/>
      </w:r>
      <w:r>
        <w:t xml:space="preserve">smiles2024themetabolicsensor pages 26-27;</w:t>
      </w:r>
      <w:r>
        <w:br/>
      </w:r>
      <w:r>
        <w:t xml:space="preserve">tarasiuk2022ampkanddiseases pages 1-3;</w:t>
      </w:r>
      <w:r>
        <w:br/>
      </w:r>
      <w:r>
        <w:t xml:space="preserve">tarasiuk2022ampkanddiseases pages 3-5;</w:t>
      </w:r>
      <w:r>
        <w:br/>
      </w:r>
      <w:r>
        <w:t xml:space="preserve">tarasiuk2022ampkanddiseases pages 5-6;</w:t>
      </w:r>
      <w:r>
        <w:br/>
      </w:r>
      <w:r>
        <w:t xml:space="preserve">wang2012ampactivatedproteinkinase pages 1-2;</w:t>
      </w:r>
      <w:r>
        <w:br/>
      </w:r>
      <w:r>
        <w:t xml:space="preserve">wang2012ampactivatedproteinkinase pages 2-4;</w:t>
      </w:r>
      <w:r>
        <w:br/>
      </w:r>
      <w:r>
        <w:t xml:space="preserve">steinberg2009ampkinhealth pages 1-2;</w:t>
      </w:r>
      <w:r>
        <w:br/>
      </w:r>
      <w:r>
        <w:t xml:space="preserve">steinberg2009ampkinhealth pages 2-3;</w:t>
      </w:r>
      <w:r>
        <w:br/>
      </w:r>
      <w:r>
        <w:t xml:space="preserve">steinberg2009ampkinhealth pages 7-8;</w:t>
      </w:r>
      <w:r>
        <w:br/>
      </w:r>
      <w:r>
        <w:t xml:space="preserve">smiles2024themetabolicsensor pages 18-19.</w:t>
      </w:r>
    </w:p>
    <w:p>
      <w:pPr>
        <w:pStyle w:val="FirstParagraph"/>
      </w:pPr>
      <w:r>
        <w:t xml:space="preserve">References</w:t>
      </w:r>
    </w:p>
    <w:p>
      <w:pPr>
        <w:numPr>
          <w:ilvl w:val="0"/>
          <w:numId w:val="1002"/>
        </w:numPr>
      </w:pPr>
      <w:r>
        <w:t xml:space="preserve">(arad2007ampactivatedproteinkinase pages 1-3): Michael Arad, Christine E. Seidman, and J.G. Seidman. Amp-activated protein kinase in the heart. Circulation Research, 100:474-488, Mar 2007. URL: https://doi.org/10.1161/01.res.0000258446.23525.37, doi:10.1161/01.res.0000258446.23525.37. This article has 452 citations and is from a highest quality peer-reviewed journal.</w:t>
      </w:r>
    </w:p>
    <w:p>
      <w:pPr>
        <w:numPr>
          <w:ilvl w:val="0"/>
          <w:numId w:val="1002"/>
        </w:numPr>
      </w:pPr>
      <w:r>
        <w:t xml:space="preserve">(hardie2012ampactivatedproteinkinase pages 1-2): D. Grahame Hardie, Fiona A. Ross, and Simon A. Hawley. Amp-activated protein kinase: a target for drugs both ancient and modern. Chemistry &amp; biology, 19:1222-1236, Oct 2012. URL: https://doi.org/10.1016/j.chembiol.2012.08.019, doi:10.1016/j.chembiol.2012.08.019. This article has 462 citations.</w:t>
      </w:r>
    </w:p>
    <w:p>
      <w:pPr>
        <w:numPr>
          <w:ilvl w:val="0"/>
          <w:numId w:val="1002"/>
        </w:numPr>
      </w:pPr>
      <w:r>
        <w:t xml:space="preserve">(kurumbail2016structureandregulation pages 1-4):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15-17):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17-19):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(li2019ampkandautophagy pages 97-100): Yanjun Li and Yingyu Chen. Ampk and autophagy. Advances in Experimental Medicine and Biology, 1206:85-108, Jan 2019. URL: https://doi.org/10.1007/978-981-15-0602-4_4, doi:10.1007/978-981-15-0602-4_4. This article has 447 citations and is from a peer-reviewed journal.</w:t>
      </w:r>
    </w:p>
    <w:p>
      <w:pPr>
        <w:numPr>
          <w:ilvl w:val="0"/>
          <w:numId w:val="1002"/>
        </w:numPr>
      </w:pPr>
      <w:r>
        <w:t xml:space="preserve">(ovens2021posttranslationalmodificationsof pages 7-9):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(saiu2010structuralandfunctional pages 11-16): P Saiu. Structural and functional studies on nucleotide binding to amp-activated protein kinase. Unknown journal, 2010.</w:t>
      </w:r>
    </w:p>
    <w:p>
      <w:pPr>
        <w:numPr>
          <w:ilvl w:val="0"/>
          <w:numId w:val="1002"/>
        </w:numPr>
      </w:pPr>
      <w:r>
        <w:t xml:space="preserve">(sanz2008ampactivatedproteinkinase pages 1-5): Pascual Sanz. Amp-activated protein kinase: structure and regulation. Current Protein &amp; Peptide Science, 9:478-492, Oct 2008. URL: https://doi.org/10.2174/138920308785915254, doi:10.2174/138920308785915254. This article has 140 citations.</w:t>
      </w:r>
    </w:p>
    <w:p>
      <w:pPr>
        <w:numPr>
          <w:ilvl w:val="0"/>
          <w:numId w:val="1002"/>
        </w:numPr>
      </w:pPr>
      <w:r>
        <w:t xml:space="preserve">(sanz2008ampactivatedproteinkinase pages 14-17): Pascual Sanz. Amp-activated protein kinase: structure and regulation. Current Protein &amp; Peptide Science, 9:478-492, Oct 2008. URL: https://doi.org/10.2174/138920308785915254, doi:10.2174/138920308785915254. This article has 140 citations.</w:t>
      </w:r>
    </w:p>
    <w:p>
      <w:pPr>
        <w:numPr>
          <w:ilvl w:val="0"/>
          <w:numId w:val="1002"/>
        </w:numPr>
      </w:pPr>
      <w:r>
        <w:t xml:space="preserve">(sanz2008ampactivatedproteinkinase pages 5-8): Pascual Sanz. Amp-activated protein kinase: structure and regulation. Current Protein &amp; Peptide Science, 9:478-492, Oct 2008. URL: https://doi.org/10.2174/138920308785915254, doi:10.2174/138920308785915254. This article has 140 citations.</w:t>
      </w:r>
    </w:p>
    <w:p>
      <w:pPr>
        <w:numPr>
          <w:ilvl w:val="0"/>
          <w:numId w:val="1002"/>
        </w:numPr>
      </w:pPr>
      <w:r>
        <w:t xml:space="preserve">(smiles2024themetabolicsensor pages 1-2):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2"/>
        </w:numPr>
      </w:pPr>
      <w:r>
        <w:t xml:space="preserve">(smiles2024themetabolicsensor pages 26-27):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2"/>
        </w:numPr>
      </w:pPr>
      <w:r>
        <w:t xml:space="preserve">(steinberg2009ampkinhealth pages 1-2): Gregory R. Steinberg and Bruce E. Kemp. Ampk in health and disease. Physiological Reviews, 89:1025-1078, Jul 2009. URL: https://doi.org/10.1152/physrev.00011.2008, doi:10.1152/physrev.00011.2008. This article has 1970 citations and is from a highest quality peer-reviewed journal.</w:t>
      </w:r>
    </w:p>
    <w:p>
      <w:pPr>
        <w:numPr>
          <w:ilvl w:val="0"/>
          <w:numId w:val="1002"/>
        </w:numPr>
      </w:pPr>
      <w:r>
        <w:t xml:space="preserve">(steinberg2009ampkinhealth pages 2-3): Gregory R. Steinberg and Bruce E. Kemp. Ampk in health and disease. Physiological Reviews, 89:1025-1078, Jul 2009. URL: https://doi.org/10.1152/physrev.00011.2008, doi:10.1152/physrev.00011.2008. This article has 1970 citations and is from a highest quality peer-reviewed journal.</w:t>
      </w:r>
    </w:p>
    <w:p>
      <w:pPr>
        <w:numPr>
          <w:ilvl w:val="0"/>
          <w:numId w:val="1002"/>
        </w:numPr>
      </w:pPr>
      <w:r>
        <w:t xml:space="preserve">(steinberg2009ampkinhealth pages 7-8): Gregory R. Steinberg and Bruce E. Kemp. Ampk in health and disease. Physiological Reviews, 89:1025-1078, Jul 2009. URL: https://doi.org/10.1152/physrev.00011.2008, doi:10.1152/physrev.00011.2008. This article has 1970 citations and is from a highest quality peer-reviewed journal.</w:t>
      </w:r>
    </w:p>
    <w:p>
      <w:pPr>
        <w:numPr>
          <w:ilvl w:val="0"/>
          <w:numId w:val="1002"/>
        </w:numPr>
      </w:pPr>
      <w:r>
        <w:t xml:space="preserve">(tarasiuk2022ampkanddiseases pages 1-3):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(tarasiuk2022ampkanddiseases pages 3-5):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(tarasiuk2022ampkanddiseases pages 5-6):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(wang2012ampactivatedproteinkinase pages 1-2): Shaobin Wang, Ping Song, and Ming-Hui Zou. Amp-activated protein kinase, stress responses and cardiovascular diseases. Clinical science, 122 12:555-73, Jun 2012. URL: https://doi.org/10.1042/cs20110625, doi:10.1042/cs20110625. This article has 268 citations and is from a peer-reviewed journal.</w:t>
      </w:r>
    </w:p>
    <w:p>
      <w:pPr>
        <w:numPr>
          <w:ilvl w:val="0"/>
          <w:numId w:val="1002"/>
        </w:numPr>
      </w:pPr>
      <w:r>
        <w:t xml:space="preserve">(wang2012ampactivatedproteinkinase pages 2-4): Shaobin Wang, Ping Song, and Ming-Hui Zou. Amp-activated protein kinase, stress responses and cardiovascular diseases. Clinical science, 122 12:555-73, Jun 2012. URL: https://doi.org/10.1042/cs20110625, doi:10.1042/cs20110625. This article has 268 citations and is from a peer-reviewed journal.</w:t>
      </w:r>
    </w:p>
    <w:p>
      <w:pPr>
        <w:numPr>
          <w:ilvl w:val="0"/>
          <w:numId w:val="1002"/>
        </w:numPr>
      </w:pPr>
      <w:r>
        <w:t xml:space="preserve">(arad2007ampactivatedproteinkinase pages 3-4): Michael Arad, Christine E. Seidman, and J.G. Seidman. Amp-activated protein kinase in the heart. Circulation Research, 100:474-488, Mar 2007. URL: https://doi.org/10.1161/01.res.0000258446.23525.37, doi:10.1161/01.res.0000258446.23525.37. This article has 452 citations and is from a highest quality peer-reviewed journal.</w:t>
      </w:r>
    </w:p>
    <w:p>
      <w:pPr>
        <w:numPr>
          <w:ilvl w:val="0"/>
          <w:numId w:val="1002"/>
        </w:numPr>
      </w:pPr>
      <w:r>
        <w:t xml:space="preserve">(arad2007ampactivatedproteinkinase pages 4-5): Michael Arad, Christine E. Seidman, and J.G. Seidman. Amp-activated protein kinase in the heart. Circulation Research, 100:474-488, Mar 2007. URL: https://doi.org/10.1161/01.res.0000258446.23525.37, doi:10.1161/01.res.0000258446.23525.37. This article has 452 citations and is from a highest quality peer-reviewed journal.</w:t>
      </w:r>
    </w:p>
    <w:p>
      <w:pPr>
        <w:numPr>
          <w:ilvl w:val="0"/>
          <w:numId w:val="1002"/>
        </w:numPr>
      </w:pPr>
      <w:r>
        <w:t xml:space="preserve">(hardie2011ampactivatedproteinkinase pages 2-3): D. Grahame Hardie. Amp-activated protein kinase: a cellular energy sensor with a key role in metabolic disorders and in cancer. Biochemical Society transactions, 39 1:1-13, Feb 2011. URL: https://doi.org/10.1042/bst0390001, doi:10.1042/bst0390001. This article has 204 citations and is from a peer-reviewed journal.</w:t>
      </w:r>
    </w:p>
    <w:p>
      <w:pPr>
        <w:numPr>
          <w:ilvl w:val="0"/>
          <w:numId w:val="1002"/>
        </w:numPr>
      </w:pPr>
      <w:r>
        <w:t xml:space="preserve">(hardie2011ampactivatedproteinkinase pages 3-4): D. Grahame Hardie. Amp-activated protein kinase: a cellular energy sensor with a key role in metabolic disorders and in cancer. Biochemical Society transactions, 39 1:1-13, Feb 2011. URL: https://doi.org/10.1042/bst0390001, doi:10.1042/bst0390001. This article has 204 citations and is from a peer-reviewed journal.</w:t>
      </w:r>
    </w:p>
    <w:p>
      <w:pPr>
        <w:numPr>
          <w:ilvl w:val="0"/>
          <w:numId w:val="1002"/>
        </w:numPr>
      </w:pPr>
      <w:r>
        <w:t xml:space="preserve">(kurumbail2016structureandregulation pages 12-15):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19-20):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4-6):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6-9):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(li2019ampkandautophagy pages 100-103): Yanjun Li and Yingyu Chen. Ampk and autophagy. Advances in Experimental Medicine and Biology, 1206:85-108, Jan 2019. URL: https://doi.org/10.1007/978-981-15-0602-4_4, doi:10.1007/978-981-15-0602-4_4. This article has 447 citations and is from a peer-reviewed journal.</w:t>
      </w:r>
    </w:p>
    <w:p>
      <w:pPr>
        <w:numPr>
          <w:ilvl w:val="0"/>
          <w:numId w:val="1002"/>
        </w:numPr>
      </w:pPr>
      <w:r>
        <w:t xml:space="preserve">(ovens2021posttranslationalmodificationsof pages 1-2):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12-14):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2-5):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5-6):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6-7):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9-10):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(ross2016amp‐activatedproteinkinase pages 1-2):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(russell2020ampactivatedproteinkinase pages 2-4): Fiona M. Russell and David Grahame Hardie. Amp-activated protein kinase: do we need activators or inhibitors to treat or prevent cancer? International Journal of Molecular Sciences, 22:186, Dec 2020. URL: https://doi.org/10.3390/ijms22010186, doi:10.3390/ijms22010186. This article has 52 citations and is from a peer-reviewed journal.</w:t>
      </w:r>
    </w:p>
    <w:p>
      <w:pPr>
        <w:numPr>
          <w:ilvl w:val="0"/>
          <w:numId w:val="1002"/>
        </w:numPr>
      </w:pPr>
      <w:r>
        <w:t xml:space="preserve">(russell2020ampactivatedproteinkinase pages 23-24): Fiona M. Russell and David Grahame Hardie. Amp-activated protein kinase: do we need activators or inhibitors to treat or prevent cancer? International Journal of Molecular Sciences, 22:186, Dec 2020. URL: https://doi.org/10.3390/ijms22010186, doi:10.3390/ijms22010186. This article has 52 citations and is from a peer-reviewed journal.</w:t>
      </w:r>
    </w:p>
    <w:p>
      <w:pPr>
        <w:numPr>
          <w:ilvl w:val="0"/>
          <w:numId w:val="1002"/>
        </w:numPr>
      </w:pPr>
      <w:r>
        <w:t xml:space="preserve">(russell2020ampactivatedproteinkinase pages 4-6): Fiona M. Russell and David Grahame Hardie. Amp-activated protein kinase: do we need activators or inhibitors to treat or prevent cancer? International Journal of Molecular Sciences, 22:186, Dec 2020. URL: https://doi.org/10.3390/ijms22010186, doi:10.3390/ijms22010186. This article has 52 citations and is from a peer-reviewed journal.</w:t>
      </w:r>
    </w:p>
    <w:p>
      <w:pPr>
        <w:numPr>
          <w:ilvl w:val="0"/>
          <w:numId w:val="1002"/>
        </w:numPr>
      </w:pPr>
      <w:r>
        <w:t xml:space="preserve">(saiu2010structuralandfunctional pages 154-157): P Saiu. Structural and functional studies on nucleotide binding to amp-activated protein kinase. Unknown journal, 2010.</w:t>
      </w:r>
    </w:p>
    <w:p>
      <w:pPr>
        <w:numPr>
          <w:ilvl w:val="0"/>
          <w:numId w:val="1002"/>
        </w:numPr>
      </w:pPr>
      <w:r>
        <w:t xml:space="preserve">(saiu2010structuralandfunctional pages 16-21): P Saiu. Structural and functional studies on nucleotide binding to amp-activated protein kinase. Unknown journal, 2010.</w:t>
      </w:r>
    </w:p>
    <w:p>
      <w:pPr>
        <w:numPr>
          <w:ilvl w:val="0"/>
          <w:numId w:val="1002"/>
        </w:numPr>
      </w:pPr>
      <w:r>
        <w:t xml:space="preserve">(saiu2010structuralandfunctional pages 21-25): P Saiu. Structural and functional studies on nucleotide binding to amp-activated protein kinase. Unknown journal, 2010.</w:t>
      </w:r>
    </w:p>
    <w:p>
      <w:pPr>
        <w:numPr>
          <w:ilvl w:val="0"/>
          <w:numId w:val="1002"/>
        </w:numPr>
      </w:pPr>
      <w:r>
        <w:t xml:space="preserve">(saiu2010structuralandfunctional pages 25-29): P Saiu. Structural and functional studies on nucleotide binding to amp-activated protein kinase. Unknown journal, 2010.</w:t>
      </w:r>
    </w:p>
    <w:p>
      <w:pPr>
        <w:numPr>
          <w:ilvl w:val="0"/>
          <w:numId w:val="1002"/>
        </w:numPr>
      </w:pPr>
      <w:r>
        <w:t xml:space="preserve">(salt2017ampactivatedproteinkinase pages 1-2): Ian P. Salt and D. Grahame Hardie. Amp-activated protein kinase. Circulation Research, 120:1825-1841, May 2017. URL: https://doi.org/10.1161/circresaha.117.309633, doi:10.1161/circresaha.117.309633. This article has 201 citations and is from a highest quality peer-reviewed journal.</w:t>
      </w:r>
    </w:p>
    <w:p>
      <w:pPr>
        <w:numPr>
          <w:ilvl w:val="0"/>
          <w:numId w:val="1002"/>
        </w:numPr>
      </w:pPr>
      <w:r>
        <w:t xml:space="preserve">(salt2017ampactivatedproteinkinase pages 2-3): Ian P. Salt and D. Grahame Hardie. Amp-activated protein kinase. Circulation Research, 120:1825-1841, May 2017. URL: https://doi.org/10.1161/circresaha.117.309633, doi:10.1161/circresaha.117.309633. This article has 201 citations and is from a highest quality peer-reviewed journal.</w:t>
      </w:r>
    </w:p>
    <w:p>
      <w:pPr>
        <w:numPr>
          <w:ilvl w:val="0"/>
          <w:numId w:val="1002"/>
        </w:numPr>
      </w:pPr>
      <w:r>
        <w:t xml:space="preserve">(sanz2008ampactivatedproteinkinase pages 40-46): Pascual Sanz. Amp-activated protein kinase: structure and regulation. Current Protein &amp; Peptide Science, 9:478-492, Oct 2008. URL: https://doi.org/10.2174/138920308785915254, doi:10.2174/138920308785915254. This article has 140 citations.</w:t>
      </w:r>
    </w:p>
    <w:p>
      <w:pPr>
        <w:numPr>
          <w:ilvl w:val="0"/>
          <w:numId w:val="1002"/>
        </w:numPr>
      </w:pPr>
      <w:r>
        <w:t xml:space="preserve">(smiles2024themetabolicsensor pages 18-19):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2"/>
        </w:numPr>
      </w:pPr>
      <w:r>
        <w:t xml:space="preserve">(smiles2024themetabolicsensor pages 2-3):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