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SRPK3, also designated as MSSK1 or STK23, is a member of the serine/arginine protein kinase (SRPK) family within the CMGC group of kinases. This kinase family is evolutionarily conserved across eukaryotes and comprises several members, including SRPK1 and SRPK2, which are expressed ubiquitously, and SRPK3, which is distinguished by its tissue‐restricted expression. SRPK3 orthologs have been identified in vertebrates and invertebrates, and functional studies in organisms such as Drosophila have revealed homologous kinases (e.g., Drosophila SRPK79D) that share similar modular kinase domains with an intervening spacer sequence (nieratschker2009bruchpilotinribbonlike pages 8-10). The conserved bipartite catalytic domain—split by a non‐conserved spacer region that modulates subcellular localization—is a hallmark of this family and is found in SRPK3 as well (zhou2013regulationofsplicing pages 5-7). In mammals, SRPK3 exhibits a distinct phylogenetic niche by being predominantly expressed in muscle tissues, a feature that differentiates it from its more broadly expressed relatives and underscores its potentially specialized roles in muscle development and function (araki2023targetingpremrnasplicing pages 4-6, hogg2023functionsofsrpkclkanddyrkkinasesin pages 12-14).</w:t>
      </w:r>
    </w:p>
    <w:p>
      <w:pPr>
        <w:numPr>
          <w:ilvl w:val="0"/>
          <w:numId w:val="1001"/>
        </w:numPr>
      </w:pPr>
      <w:r>
        <w:t xml:space="preserve">Reaction Catalyzed</w:t>
      </w:r>
      <w:r>
        <w:br/>
      </w:r>
      <w:r>
        <w:t xml:space="preserve">SRPK3 catalyzes a prototypical serine/threonine kinase reaction wherein the gamma-phosphate group is transferred from adenosine triphosphate (ATP) to specific serine residues located within arginine/serine-rich (RS) domains of substrate proteins. The general chemical reaction can be summarized as follows:</w:t>
      </w:r>
      <w:r>
        <w:br/>
      </w:r>
      <w:r>
        <w:t xml:space="preserve">  ATP + [protein]–L-serine → ADP + [protein]–L-serine phosphate + H⁺</w:t>
      </w:r>
      <w:r>
        <w:br/>
      </w:r>
      <w:r>
        <w:t xml:space="preserve">This reaction results in the phosphorylation of RS domain-containing substrates, such as the splicing factor SRSF1 and the lamin-B receptor (LBR), thereby modulating their function and intracellular localization (zheng2023serinearginineproteinkinases pages 1-2, zhou2013regulationofsplicing pages 1-2).</w:t>
      </w:r>
    </w:p>
    <w:p>
      <w:pPr>
        <w:numPr>
          <w:ilvl w:val="0"/>
          <w:numId w:val="1001"/>
        </w:numPr>
      </w:pPr>
      <w:r>
        <w:t xml:space="preserve">Cofactor Requirements</w:t>
      </w:r>
      <w:r>
        <w:br/>
      </w:r>
      <w:r>
        <w:t xml:space="preserve">The kinase activity of SRPK3 depends on the presence of divalent metal ions that facilitate the proper binding of ATP to the active site. In particular, Mg²⁺ serves as an essential cofactor by coordinating with ATP to stabilize its interaction with the kinase domain. The presence of Mg²⁺ is critical for the phosphoryl transfer reaction that underlies the catalytic mechanism of SRPK3 (zheng2023serinearginineproteinkinases pages 1-2, araki2023targetingpremrnasplicing pages 4-6).</w:t>
      </w:r>
    </w:p>
    <w:p>
      <w:pPr>
        <w:numPr>
          <w:ilvl w:val="0"/>
          <w:numId w:val="1001"/>
        </w:numPr>
      </w:pPr>
      <w:r>
        <w:t xml:space="preserve">Substrate Specificity</w:t>
      </w:r>
      <w:r>
        <w:br/>
      </w:r>
      <w:r>
        <w:t xml:space="preserve">SRPK3 exhibits a high degree of substrate specificity for proteins containing RS domains, which are rich in arginine/serine dipeptides. The enzyme selectively phosphorylates serine residues embedded in these motifs, a modification that is paramount for the regulation of splicing factor activity. In vitro experiments have demonstrated that SRPK3 targets substrates such as the SR splicing factor SRSF1 and the lamin-B receptor (LBR) (information section; naro2013phosphorylationmediatedregulationof pages 3-5, zheng2023serinearginineproteinkinases pages 13-14). The consensus substrate motif for SRPK3 is defined by repetitive RS dipeptides, which provide the structural context required for recognition and processive phosphorylation of its targets.</w:t>
      </w:r>
    </w:p>
    <w:p>
      <w:pPr>
        <w:numPr>
          <w:ilvl w:val="0"/>
          <w:numId w:val="1001"/>
        </w:numPr>
      </w:pPr>
      <w:r>
        <w:t xml:space="preserve">Structure</w:t>
      </w:r>
      <w:r>
        <w:br/>
      </w:r>
      <w:r>
        <w:t xml:space="preserve">SRPK3 is characterized by a conserved architecture typical of the SRPK family. Its primary structure consists of a central kinase domain that is split into two lobes by a large, non-conserved spacer region. The N-terminal lobe generally comprises predominantly β-strands, while the C-terminal lobe is rich in α-helices; together, these lobes create a catalytic cleft in which ATP binds and phosphoryl transfer occurs. The unique spacer insert plays a critical role in regulating subcellular localization, as it is implicated in retaining SRPK3 in the cytoplasm under resting conditions (zhou2013regulationofsplicing pages 5-7, tecchio2016developmentofheterocyclica pages 27-31).</w:t>
      </w:r>
    </w:p>
    <w:p>
      <w:pPr>
        <w:pStyle w:val="FirstParagraph"/>
      </w:pPr>
      <w:r>
        <w:t xml:space="preserve">Additional structural features include an activation loop that must adopt an open conformation to allow substrate access, as well as a conserved C-helix and hydrophobic spine that contribute to kinase stability and catalysis. A MAP kinase insert is often present in SRPKs and creates a docking groove that orients RS domain-containing substrates for efficient, processive phosphorylation. Although no high-resolution crystal structure specific to SRPK3 is available in the literature provided, homology with other SRPK family members supports the presence of these hallmark structural elements (araki2023targetingpremrnasplicing pages 4-6, zhou2013regulationofsplicing pages 5-7).</w:t>
      </w:r>
    </w:p>
    <w:p>
      <w:pPr>
        <w:pStyle w:val="Compact"/>
        <w:numPr>
          <w:ilvl w:val="0"/>
          <w:numId w:val="1002"/>
        </w:numPr>
      </w:pPr>
      <w:r>
        <w:t xml:space="preserve">Regulation</w:t>
      </w:r>
      <w:r>
        <w:br/>
      </w:r>
      <w:r>
        <w:t xml:space="preserve">Regulation of SRPK3 occurs primarily at the level of subcellular localization and through post-translational modifications. The non-conserved spacer domain is a key determinant of the enzyme’s cytoplasmic retention; alterations or deletions within this region can lead to aberrant nuclear translocation. This spatial regulation is critical, as SRPK3 must phosphorylate its substrates in the appropriate cellular compartment. Under basal conditions, SRPK3 is predominantly found in the cytoplasm; however, cellular signals, such as those mediated by growth factor stimulation and activation of the Akt pathway, can trigger modifications that promote its nuclear entry (zheng2023serinearginineproteinkinases pages 14-15, zhou2013regulationofsplicing pages 5-7).</w:t>
      </w:r>
    </w:p>
    <w:p>
      <w:pPr>
        <w:pStyle w:val="FirstParagraph"/>
      </w:pPr>
      <w:r>
        <w:t xml:space="preserve">Furthermore, SRPK3 is constitutively active, as is characteristic of the SRPK family, yet its activity can be fine-tuned by autophosphorylation and interactions with molecular chaperones—including Hsp70 and Hsp90—which assist in maintaining its proper conformation and subcellular distribution (prescott2012regulationofserinearginine pages 65-70). Although direct data for SRPK3 are limited in the citations provided, the regulatory paradigms established for SRPK1 and SRPK2 are considered applicable to SRPK3 owing to the high degree of sequence and structural conservation (zheng2023serinearginineproteinkinases pages 14-15, prescott2012regulationofserinearginine pages 65-70).</w:t>
      </w:r>
    </w:p>
    <w:p>
      <w:pPr>
        <w:pStyle w:val="Compact"/>
        <w:numPr>
          <w:ilvl w:val="0"/>
          <w:numId w:val="1003"/>
        </w:numPr>
      </w:pPr>
      <w:r>
        <w:t xml:space="preserve">Function</w:t>
      </w:r>
      <w:r>
        <w:br/>
      </w:r>
      <w:r>
        <w:t xml:space="preserve">SRPK3 plays an essential role in the regulation of pre-mRNA splicing by phosphorylating serine/arginine-rich (SR) proteins. Its catalytic activity on RS domains is critical for modulating the subcellular localization and activity of splicing factors. In vitro studies have confirmed that SRPK3 phosphorylates substrates such as SRSF1 and the lamin-B receptor (LBR), modifications which are necessary for proper spliceosome assembly and splicing regulation (information section; zheng2023serinearginineproteinkinases pages 1-2, naro2013phosphorylationmediatedregulationof pages 3-5).</w:t>
      </w:r>
    </w:p>
    <w:p>
      <w:pPr>
        <w:pStyle w:val="FirstParagraph"/>
      </w:pPr>
      <w:r>
        <w:t xml:space="preserve">In addition to its role in splicing regulation, SRPK3 is required for normal muscle development. Its expression is largely confined to skeletal muscle tissue, and experimental studies have shown that deletion or mutation of SRPK3 leads to phenotypes associated with impaired muscle development and function. For example, genetically engineered mouse models lacking SRPK3 exhibit defects in B lymphocyte development and humoral immune responsiveness, indicating that the kinase’s regulatory functions may extend to the modulation of alternative splicing events that influence mitochondrial biogenesis and metabolic pathways (arends2019srpk3regulatesalternative pages 12-16, arends2019srpk3regulatesalternative pages 16-21, araki2023targetingpremrnasplicing pages 4-6, pastor2021interplaybetweencmgc pages 3-5).</w:t>
      </w:r>
    </w:p>
    <w:p>
      <w:pPr>
        <w:pStyle w:val="BodyText"/>
      </w:pPr>
      <w:r>
        <w:t xml:space="preserve">The biological functions of SRPK3 include not only the regulation of canonical pre-mRNA splicing but also the modulation of cell signaling pathways through the alternative splicing of genes involved in muscle metabolism and immune cell differentiation. These roles underscore the importance of SRPK3 in both muscle physiology and potentially in the immune system, where precise control of alternative splicing is requisite for normal cellular function (hogg2023functionsofsrpkclkanddyrkkinasesin pages 12-14).</w:t>
      </w:r>
    </w:p>
    <w:p>
      <w:pPr>
        <w:pStyle w:val="Compact"/>
        <w:numPr>
          <w:ilvl w:val="0"/>
          <w:numId w:val="1004"/>
        </w:numPr>
      </w:pPr>
      <w:r>
        <w:t xml:space="preserve">Other Comments</w:t>
      </w:r>
      <w:r>
        <w:br/>
      </w:r>
      <w:r>
        <w:t xml:space="preserve">At present, selective inhibitors that target SRPK3 specifically have not been reported. However, several pan-SRPK inhibitors—such as SRPIN340, SPHINX31, and SRPKIN-1—have been developed and studied for their ability to modulate the activity of SR protein kinases in general. These compounds have been evaluated in the context of altered splicing in cancers and viral infections, though their effects on SRPK3 remain to be fully elucidated (tecchio2016developmentofheterocyclica pages 27-31, pastor2021interplaybetweencmgc pages 3-5, siriwath2020cellularactivitiesof pages 34-39).</w:t>
      </w:r>
    </w:p>
    <w:p>
      <w:pPr>
        <w:pStyle w:val="FirstParagraph"/>
      </w:pPr>
      <w:r>
        <w:t xml:space="preserve">Disease associations for SRPK3 have been reported in studies investigating its role in muscle development and immune function. Loss-of-function mutations or deletion of SRPK3 in experimental models have been linked to impaired muscle growth, altered B cell development, and defects in antibody production, which imply a potential connection with immunodeficiency and muscle-related pathologies (arends2019srpk3regulatesalternative pages 12-16, bustos2020functionaldiversificationof pages 12-15). These observations emphasize the necessity for further research into SRPK3’s substrate repertoire, regulatory mechanisms, and the possible development of targeted therapies for diseases stemming from its dysregulation.</w:t>
      </w:r>
    </w:p>
    <w:p>
      <w:pPr>
        <w:pStyle w:val="Compact"/>
        <w:numPr>
          <w:ilvl w:val="0"/>
          <w:numId w:val="1005"/>
        </w:numPr>
      </w:pPr>
      <w:r>
        <w:t xml:space="preserve">References</w:t>
      </w:r>
      <w:r>
        <w:br/>
      </w:r>
    </w:p>
    <w:p>
      <w:pPr>
        <w:pStyle w:val="Compact"/>
        <w:numPr>
          <w:ilvl w:val="0"/>
          <w:numId w:val="1005"/>
        </w:numPr>
      </w:pPr>
      <w:r>
        <w:t xml:space="preserve">arends2019srpk3regulatesalternative pages 12-16</w:t>
      </w:r>
      <w:r>
        <w:br/>
      </w:r>
    </w:p>
    <w:p>
      <w:pPr>
        <w:pStyle w:val="Compact"/>
        <w:numPr>
          <w:ilvl w:val="0"/>
          <w:numId w:val="1005"/>
        </w:numPr>
      </w:pPr>
      <w:r>
        <w:t xml:space="preserve">arends2019srpk3regulatesalternative pages 21-24</w:t>
      </w:r>
      <w:r>
        <w:br/>
      </w:r>
    </w:p>
    <w:p>
      <w:pPr>
        <w:pStyle w:val="Compact"/>
        <w:numPr>
          <w:ilvl w:val="0"/>
          <w:numId w:val="1005"/>
        </w:numPr>
      </w:pPr>
      <w:r>
        <w:t xml:space="preserve">araki2023targetingpremrnasplicing pages 4-6</w:t>
      </w:r>
      <w:r>
        <w:br/>
      </w:r>
    </w:p>
    <w:p>
      <w:pPr>
        <w:pStyle w:val="Compact"/>
        <w:numPr>
          <w:ilvl w:val="0"/>
          <w:numId w:val="1005"/>
        </w:numPr>
      </w:pPr>
      <w:r>
        <w:t xml:space="preserve">bustos2020functionaldiversificationof pages 1-4</w:t>
      </w:r>
      <w:r>
        <w:br/>
      </w:r>
    </w:p>
    <w:p>
      <w:pPr>
        <w:pStyle w:val="Compact"/>
        <w:numPr>
          <w:ilvl w:val="0"/>
          <w:numId w:val="1005"/>
        </w:numPr>
      </w:pPr>
      <w:r>
        <w:t xml:space="preserve">bustos2020functionaldiversificationof pages 12-15</w:t>
      </w:r>
      <w:r>
        <w:br/>
      </w:r>
    </w:p>
    <w:p>
      <w:pPr>
        <w:pStyle w:val="Compact"/>
        <w:numPr>
          <w:ilvl w:val="0"/>
          <w:numId w:val="1005"/>
        </w:numPr>
      </w:pPr>
      <w:r>
        <w:t xml:space="preserve">bustos2020functionaldiversificationof pages 23-25</w:t>
      </w:r>
      <w:r>
        <w:br/>
      </w:r>
    </w:p>
    <w:p>
      <w:pPr>
        <w:pStyle w:val="Compact"/>
        <w:numPr>
          <w:ilvl w:val="0"/>
          <w:numId w:val="1005"/>
        </w:numPr>
      </w:pPr>
      <w:r>
        <w:t xml:space="preserve">hogg2023functionsofsrpkclkanddyrkkinasesin pages 1-2</w:t>
      </w:r>
      <w:r>
        <w:br/>
      </w:r>
    </w:p>
    <w:p>
      <w:pPr>
        <w:pStyle w:val="Compact"/>
        <w:numPr>
          <w:ilvl w:val="0"/>
          <w:numId w:val="1005"/>
        </w:numPr>
      </w:pPr>
      <w:r>
        <w:t xml:space="preserve">hogg2023functionsofsrpkclkanddyrkkinasesin pages 12-14</w:t>
      </w:r>
      <w:r>
        <w:br/>
      </w:r>
    </w:p>
    <w:p>
      <w:pPr>
        <w:pStyle w:val="Compact"/>
        <w:numPr>
          <w:ilvl w:val="0"/>
          <w:numId w:val="1005"/>
        </w:numPr>
      </w:pPr>
      <w:r>
        <w:t xml:space="preserve">nieratschker2009bruchpilotinribbonlike pages 8-10</w:t>
      </w:r>
      <w:r>
        <w:br/>
      </w:r>
    </w:p>
    <w:p>
      <w:pPr>
        <w:pStyle w:val="Compact"/>
        <w:numPr>
          <w:ilvl w:val="0"/>
          <w:numId w:val="1005"/>
        </w:numPr>
      </w:pPr>
      <w:r>
        <w:t xml:space="preserve">pastor2021interplaybetweencmgc pages 11-12</w:t>
      </w:r>
      <w:r>
        <w:br/>
      </w:r>
    </w:p>
    <w:p>
      <w:pPr>
        <w:pStyle w:val="Compact"/>
        <w:numPr>
          <w:ilvl w:val="0"/>
          <w:numId w:val="1005"/>
        </w:numPr>
      </w:pPr>
      <w:r>
        <w:t xml:space="preserve">pastor2021interplaybetweencmgc pages 3-5</w:t>
      </w:r>
      <w:r>
        <w:br/>
      </w:r>
    </w:p>
    <w:p>
      <w:pPr>
        <w:pStyle w:val="Compact"/>
        <w:numPr>
          <w:ilvl w:val="0"/>
          <w:numId w:val="1005"/>
        </w:numPr>
      </w:pPr>
      <w:r>
        <w:t xml:space="preserve">payne2016differentialimpactof pages 20-23</w:t>
      </w:r>
      <w:r>
        <w:br/>
      </w:r>
    </w:p>
    <w:p>
      <w:pPr>
        <w:pStyle w:val="Compact"/>
        <w:numPr>
          <w:ilvl w:val="0"/>
          <w:numId w:val="1005"/>
        </w:numPr>
      </w:pPr>
      <w:r>
        <w:t xml:space="preserve">prescott2012regulationofserinearginine pages 65-70</w:t>
      </w:r>
      <w:r>
        <w:br/>
      </w:r>
    </w:p>
    <w:p>
      <w:pPr>
        <w:pStyle w:val="Compact"/>
        <w:numPr>
          <w:ilvl w:val="0"/>
          <w:numId w:val="1005"/>
        </w:numPr>
      </w:pPr>
      <w:r>
        <w:t xml:space="preserve">siriwath2020cellularactivitiesof pages 79-86</w:t>
      </w:r>
      <w:r>
        <w:br/>
      </w:r>
    </w:p>
    <w:p>
      <w:pPr>
        <w:pStyle w:val="Compact"/>
        <w:numPr>
          <w:ilvl w:val="0"/>
          <w:numId w:val="1005"/>
        </w:numPr>
      </w:pPr>
      <w:r>
        <w:t xml:space="preserve">sun2022srproteinkinases pages 14-15</w:t>
      </w:r>
      <w:r>
        <w:br/>
      </w:r>
    </w:p>
    <w:p>
      <w:pPr>
        <w:pStyle w:val="Compact"/>
        <w:numPr>
          <w:ilvl w:val="0"/>
          <w:numId w:val="1005"/>
        </w:numPr>
      </w:pPr>
      <w:r>
        <w:t xml:space="preserve">tecchio2016developmentofheterocyclica pages 27-31</w:t>
      </w:r>
      <w:r>
        <w:br/>
      </w:r>
    </w:p>
    <w:p>
      <w:pPr>
        <w:pStyle w:val="Compact"/>
        <w:numPr>
          <w:ilvl w:val="0"/>
          <w:numId w:val="1005"/>
        </w:numPr>
      </w:pPr>
      <w:r>
        <w:t xml:space="preserve">zheng2023serinearginineproteinkinases pages 1-2</w:t>
      </w:r>
      <w:r>
        <w:br/>
      </w:r>
    </w:p>
    <w:p>
      <w:pPr>
        <w:pStyle w:val="Compact"/>
        <w:numPr>
          <w:ilvl w:val="0"/>
          <w:numId w:val="1005"/>
        </w:numPr>
      </w:pPr>
      <w:r>
        <w:t xml:space="preserve">zheng2023serinearginineproteinkinases pages 13-14</w:t>
      </w:r>
      <w:r>
        <w:br/>
      </w:r>
    </w:p>
    <w:p>
      <w:pPr>
        <w:pStyle w:val="Compact"/>
        <w:numPr>
          <w:ilvl w:val="0"/>
          <w:numId w:val="1005"/>
        </w:numPr>
      </w:pPr>
      <w:r>
        <w:t xml:space="preserve">zheng2023serinearginineproteinkinases pages 14-15</w:t>
      </w:r>
      <w:r>
        <w:br/>
      </w:r>
    </w:p>
    <w:p>
      <w:pPr>
        <w:pStyle w:val="Compact"/>
        <w:numPr>
          <w:ilvl w:val="0"/>
          <w:numId w:val="1005"/>
        </w:numPr>
      </w:pPr>
      <w:r>
        <w:t xml:space="preserve">zhou2013regulationofsplicing pages 1-2</w:t>
      </w:r>
      <w:r>
        <w:br/>
      </w:r>
    </w:p>
    <w:p>
      <w:pPr>
        <w:pStyle w:val="Compact"/>
        <w:numPr>
          <w:ilvl w:val="0"/>
          <w:numId w:val="1005"/>
        </w:numPr>
      </w:pPr>
      <w:r>
        <w:t xml:space="preserve">zhou2013regulationofsplicing pages 14-15</w:t>
      </w:r>
      <w:r>
        <w:br/>
      </w:r>
    </w:p>
    <w:p>
      <w:pPr>
        <w:pStyle w:val="Compact"/>
        <w:numPr>
          <w:ilvl w:val="0"/>
          <w:numId w:val="1005"/>
        </w:numPr>
      </w:pPr>
      <w:r>
        <w:t xml:space="preserve">zhou2013regulationofsplicing pages 5-7</w:t>
      </w:r>
      <w:r>
        <w:br/>
      </w:r>
    </w:p>
    <w:p>
      <w:pPr>
        <w:pStyle w:val="Compact"/>
        <w:numPr>
          <w:ilvl w:val="0"/>
          <w:numId w:val="1005"/>
        </w:numPr>
      </w:pPr>
      <w:r>
        <w:t xml:space="preserve">arancibia2019serine–arginineproteinkinase pages 18-19</w:t>
      </w:r>
      <w:r>
        <w:br/>
      </w:r>
    </w:p>
    <w:p>
      <w:pPr>
        <w:pStyle w:val="Compact"/>
        <w:numPr>
          <w:ilvl w:val="0"/>
          <w:numId w:val="1005"/>
        </w:numPr>
      </w:pPr>
      <w:r>
        <w:t xml:space="preserve">arends2019srpk3regulatesalternative pages 16-21</w:t>
      </w:r>
      <w:r>
        <w:br/>
      </w:r>
    </w:p>
    <w:p>
      <w:pPr>
        <w:pStyle w:val="Compact"/>
        <w:numPr>
          <w:ilvl w:val="0"/>
          <w:numId w:val="1005"/>
        </w:numPr>
      </w:pPr>
      <w:r>
        <w:t xml:space="preserve">camila2023phosphorylationmediatedregulation pages 1-2</w:t>
      </w:r>
      <w:r>
        <w:br/>
      </w:r>
    </w:p>
    <w:p>
      <w:pPr>
        <w:pStyle w:val="Compact"/>
        <w:numPr>
          <w:ilvl w:val="0"/>
          <w:numId w:val="1005"/>
        </w:numPr>
      </w:pPr>
      <w:r>
        <w:t xml:space="preserve">gallo2022genomescaleanalysisof pages 1-2</w:t>
      </w:r>
      <w:r>
        <w:br/>
      </w:r>
    </w:p>
    <w:p>
      <w:pPr>
        <w:pStyle w:val="Compact"/>
        <w:numPr>
          <w:ilvl w:val="0"/>
          <w:numId w:val="1005"/>
        </w:numPr>
      </w:pPr>
      <w:r>
        <w:t xml:space="preserve">gallo2022genomescaleanalysisof pages 14-16</w:t>
      </w:r>
      <w:r>
        <w:br/>
      </w:r>
    </w:p>
    <w:p>
      <w:pPr>
        <w:pStyle w:val="Compact"/>
        <w:numPr>
          <w:ilvl w:val="0"/>
          <w:numId w:val="1005"/>
        </w:numPr>
      </w:pPr>
      <w:r>
        <w:t xml:space="preserve">haltenhof2020cdc2likekinasesrepresent pages 24-28</w:t>
      </w:r>
      <w:r>
        <w:br/>
      </w:r>
    </w:p>
    <w:p>
      <w:pPr>
        <w:pStyle w:val="Compact"/>
        <w:numPr>
          <w:ilvl w:val="0"/>
          <w:numId w:val="1005"/>
        </w:numPr>
      </w:pPr>
      <w:r>
        <w:t xml:space="preserve">moyano2020cdclikekinases(clks) pages 25-26</w:t>
      </w:r>
      <w:r>
        <w:br/>
      </w:r>
    </w:p>
    <w:p>
      <w:pPr>
        <w:pStyle w:val="Compact"/>
        <w:numPr>
          <w:ilvl w:val="0"/>
          <w:numId w:val="1005"/>
        </w:numPr>
      </w:pPr>
      <w:r>
        <w:t xml:space="preserve">naro2013phosphorylationmediatedregulationof pages 11-12</w:t>
      </w:r>
      <w:r>
        <w:br/>
      </w:r>
    </w:p>
    <w:p>
      <w:pPr>
        <w:pStyle w:val="Compact"/>
        <w:numPr>
          <w:ilvl w:val="0"/>
          <w:numId w:val="1005"/>
        </w:numPr>
      </w:pPr>
      <w:r>
        <w:t xml:space="preserve">naro2013phosphorylationmediatedregulationof pages 3-5</w:t>
      </w:r>
      <w:r>
        <w:br/>
      </w:r>
    </w:p>
    <w:p>
      <w:pPr>
        <w:pStyle w:val="Compact"/>
        <w:numPr>
          <w:ilvl w:val="0"/>
          <w:numId w:val="1005"/>
        </w:numPr>
      </w:pPr>
      <w:r>
        <w:t xml:space="preserve">ogbonnayauzor2019targetingthesplice pages 79-84</w:t>
      </w:r>
      <w:r>
        <w:br/>
      </w:r>
    </w:p>
    <w:p>
      <w:pPr>
        <w:pStyle w:val="Compact"/>
        <w:numPr>
          <w:ilvl w:val="0"/>
          <w:numId w:val="1005"/>
        </w:numPr>
      </w:pPr>
      <w:r>
        <w:t xml:space="preserve">yu2012searchofinhibitors pages 119-120</w:t>
      </w:r>
      <w:r>
        <w:br/>
      </w:r>
    </w:p>
    <w:p>
      <w:pPr>
        <w:pStyle w:val="Compact"/>
        <w:numPr>
          <w:ilvl w:val="0"/>
          <w:numId w:val="1005"/>
        </w:numPr>
      </w:pPr>
      <w:r>
        <w:t xml:space="preserve">alabouh2017targetingsplicefactor pages 48-52</w:t>
      </w:r>
      <w:r>
        <w:br/>
      </w:r>
    </w:p>
    <w:p>
      <w:pPr>
        <w:pStyle w:val="Compact"/>
        <w:numPr>
          <w:ilvl w:val="0"/>
          <w:numId w:val="1005"/>
        </w:numPr>
      </w:pPr>
      <w:r>
        <w:t xml:space="preserve">bustos2020functionaldiversificationof pages 34-35</w:t>
      </w:r>
    </w:p>
    <w:p>
      <w:pPr>
        <w:pStyle w:val="FirstParagraph"/>
      </w:pPr>
      <w:r>
        <w:t xml:space="preserve">References</w:t>
      </w:r>
    </w:p>
    <w:p>
      <w:pPr>
        <w:numPr>
          <w:ilvl w:val="0"/>
          <w:numId w:val="1006"/>
        </w:numPr>
      </w:pPr>
      <w:r>
        <w:t xml:space="preserve">(arends2019srpk3regulatesalternative pages 12-16): Tessa Arends, J. Matthew Taliaferro, Eric Peterman, Jennifer R. Knapp, Brian P. O’Connor, Raul M. Torres, and James R. Hagman. Srpk3 regulates alternative pre-mrna splicing required for b lymphocyte development and humoral responsiveness. bioRxiv, Sep 2019. URL: https://doi.org/10.1101/759829, doi:10.1101/759829. This article has 0 citations.</w:t>
      </w:r>
    </w:p>
    <w:p>
      <w:pPr>
        <w:numPr>
          <w:ilvl w:val="0"/>
          <w:numId w:val="1006"/>
        </w:numPr>
      </w:pPr>
      <w:r>
        <w:t xml:space="preserve">(araki2023targetingpremrnasplicing pages 4-6): Shinsuke Araki, Momoko Ohori, and Masato Yugami. Targeting pre-mrna splicing in cancers: roles, inhibitors, and therapeutic opportunities. Frontiers in Oncology, Jun 2023. URL: https://doi.org/10.3389/fonc.2023.1152087, doi:10.3389/fonc.2023.1152087. This article has 18 citations and is from a peer-reviewed journal.</w:t>
      </w:r>
    </w:p>
    <w:p>
      <w:pPr>
        <w:numPr>
          <w:ilvl w:val="0"/>
          <w:numId w:val="1006"/>
        </w:numPr>
      </w:pPr>
      <w:r>
        <w:t xml:space="preserve">(arends2019srpk3regulatesalternative pages 21-24): Tessa Arends, J. Matthew Taliaferro, Eric Peterman, Jennifer R. Knapp, Brian P. O’Connor, Raul M. Torres, and James R. Hagman. Srpk3 regulates alternative pre-mrna splicing required for b lymphocyte development and humoral responsiveness. bioRxiv, Sep 2019. URL: https://doi.org/10.1101/759829, doi:10.1101/759829. This article has 0 citations.</w:t>
      </w:r>
    </w:p>
    <w:p>
      <w:pPr>
        <w:numPr>
          <w:ilvl w:val="0"/>
          <w:numId w:val="1006"/>
        </w:numPr>
      </w:pPr>
      <w:r>
        <w:t xml:space="preserve">(bustos2020functionaldiversificationof pages 1-4): Francisco Bustos, Anna Segarra-Fas, Gino Nardocci, Andrew Cassidy, Odetta Antico, Lennart Brandenburg, Thomas Macartney, Rachel Toth, C. James Hastie, Robert Gourlay, Joby Vargese, Renata Soares, Martin Montecino, and Greg M. Findlay. Functional diversification of ser-arg rich protein kinases to control ubiquitin-dependent neurodevelopmental signalling. BioRxiv, Apr 2020. URL: https://doi.org/10.1101/2020.04.02.005041, doi:10.1101/2020.04.02.005041. This article has 1 citations.</w:t>
      </w:r>
    </w:p>
    <w:p>
      <w:pPr>
        <w:numPr>
          <w:ilvl w:val="0"/>
          <w:numId w:val="1006"/>
        </w:numPr>
      </w:pPr>
      <w:r>
        <w:t xml:space="preserve">(bustos2020functionaldiversificationof pages 12-15): Francisco Bustos, Anna Segarra-Fas, Gino Nardocci, Andrew Cassidy, Odetta Antico, Lennart Brandenburg, Thomas Macartney, Rachel Toth, C. James Hastie, Robert Gourlay, Joby Vargese, Renata Soares, Martin Montecino, and Greg M. Findlay. Functional diversification of ser-arg rich protein kinases to control ubiquitin-dependent neurodevelopmental signalling. BioRxiv, Apr 2020. URL: https://doi.org/10.1101/2020.04.02.005041, doi:10.1101/2020.04.02.005041. This article has 1 citations.</w:t>
      </w:r>
    </w:p>
    <w:p>
      <w:pPr>
        <w:numPr>
          <w:ilvl w:val="0"/>
          <w:numId w:val="1006"/>
        </w:numPr>
      </w:pPr>
      <w:r>
        <w:t xml:space="preserve">(bustos2020functionaldiversificationof pages 23-25): Francisco Bustos, Anna Segarra-Fas, Gino Nardocci, Andrew Cassidy, Odetta Antico, Lennart Brandenburg, Thomas Macartney, Rachel Toth, C. James Hastie, Robert Gourlay, Joby Vargese, Renata Soares, Martin Montecino, and Greg M. Findlay. Functional diversification of ser-arg rich protein kinases to control ubiquitin-dependent neurodevelopmental signalling. BioRxiv, Apr 2020. URL: https://doi.org/10.1101/2020.04.02.005041, doi:10.1101/2020.04.02.005041. This article has 1 citations.</w:t>
      </w:r>
    </w:p>
    <w:p>
      <w:pPr>
        <w:numPr>
          <w:ilvl w:val="0"/>
          <w:numId w:val="1006"/>
        </w:numPr>
      </w:pPr>
      <w:r>
        <w:t xml:space="preserve">(hogg2023functionsofsrpkclkanddyrkkinasesin pages 1-2):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7 citations and is from a peer-reviewed journal.</w:t>
      </w:r>
    </w:p>
    <w:p>
      <w:pPr>
        <w:numPr>
          <w:ilvl w:val="0"/>
          <w:numId w:val="1006"/>
        </w:numPr>
      </w:pPr>
      <w:r>
        <w:t xml:space="preserve">(hogg2023functionsofsrpkclkanddyrkkinasesin pages 12-14):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7 citations and is from a peer-reviewed journal.</w:t>
      </w:r>
    </w:p>
    <w:p>
      <w:pPr>
        <w:numPr>
          <w:ilvl w:val="0"/>
          <w:numId w:val="1006"/>
        </w:numPr>
      </w:pPr>
      <w:r>
        <w:t xml:space="preserve">(nieratschker2009bruchpilotinribbonlike pages 8-10): V. Nieratschker, A. Schubert, Mandy Jauch, N. Bock, D. Bucher, Sonja Dippacher, G. Krohne, E. Asan, S. Buchner, and E. Buchner. Bruchpilot in ribbon-like axonal agglomerates, behavioral defects, and early death in srpk79d kinase mutants of drosophila. PLoS Genetics, Oct 2009. URL: https://doi.org/10.1371/journal.pgen.1000700, doi:10.1371/journal.pgen.1000700. This article has 56 citations and is from a domain leading peer-reviewed journal.</w:t>
      </w:r>
    </w:p>
    <w:p>
      <w:pPr>
        <w:numPr>
          <w:ilvl w:val="0"/>
          <w:numId w:val="1006"/>
        </w:numPr>
      </w:pPr>
      <w:r>
        <w:t xml:space="preserve">(pastor2021interplaybetweencmgc pages 11-12): Florentin Pastor, Lulzim Shkreta, Benoit Chabot, David Durantel, and Anna Salvetti. Interplay between cmgc kinases targeting sr proteins and viral replication: splicing and beyond. Frontiers in Microbiology, Mar 2021. URL: https://doi.org/10.3389/fmicb.2021.658721, doi:10.3389/fmicb.2021.658721. This article has 25 citations and is from a peer-reviewed journal.</w:t>
      </w:r>
    </w:p>
    <w:p>
      <w:pPr>
        <w:numPr>
          <w:ilvl w:val="0"/>
          <w:numId w:val="1006"/>
        </w:numPr>
      </w:pPr>
      <w:r>
        <w:t xml:space="preserve">(pastor2021interplaybetweencmgc pages 3-5): Florentin Pastor, Lulzim Shkreta, Benoit Chabot, David Durantel, and Anna Salvetti. Interplay between cmgc kinases targeting sr proteins and viral replication: splicing and beyond. Frontiers in Microbiology, Mar 2021. URL: https://doi.org/10.3389/fmicb.2021.658721, doi:10.3389/fmicb.2021.658721. This article has 25 citations and is from a peer-reviewed journal.</w:t>
      </w:r>
    </w:p>
    <w:p>
      <w:pPr>
        <w:numPr>
          <w:ilvl w:val="0"/>
          <w:numId w:val="1006"/>
        </w:numPr>
      </w:pPr>
      <w:r>
        <w:t xml:space="preserve">(payne2016differentialimpactof pages 20-23): LB Payne. Differential impact of vegf and fgf2 signaling mechanisms on flt1 pre-mrna splicing. Unknown journal, 2016.</w:t>
      </w:r>
    </w:p>
    <w:p>
      <w:pPr>
        <w:numPr>
          <w:ilvl w:val="0"/>
          <w:numId w:val="1006"/>
        </w:numPr>
      </w:pPr>
      <w:r>
        <w:t xml:space="preserve">(prescott2012regulationofserinearginine pages 65-70): EL Prescott. Regulation of serine-arginine protein kinase 1 functions by human papillomavirus. Unknown journal, 2012.</w:t>
      </w:r>
    </w:p>
    <w:p>
      <w:pPr>
        <w:numPr>
          <w:ilvl w:val="0"/>
          <w:numId w:val="1006"/>
        </w:numPr>
      </w:pPr>
      <w:r>
        <w:t xml:space="preserve">(siriwath2020cellularactivitiesof pages 79-86): J SIRIWATH and W Kaewkong. Cellular activities of serine-arginine protein kinase inhibitors in cutaneous and ocular melanoma cells. Unknown journal, 2020.</w:t>
      </w:r>
    </w:p>
    <w:p>
      <w:pPr>
        <w:numPr>
          <w:ilvl w:val="0"/>
          <w:numId w:val="1006"/>
        </w:numPr>
      </w:pPr>
      <w:r>
        <w:t xml:space="preserve">(sun2022srproteinkinases pages 14-15): Mingming Sun, Yutong Jin, Yanghai Zhang, Zachery R. Gregorich, Jun Ren, Ying Ge, and Wei Guo. Sr protein kinases regulate the splicing of cardiomyopathy-relevant genes via phosphorylation of the rsrsp stretch in rbm20. Genes, 13:1526, Aug 2022. URL: https://doi.org/10.3390/genes13091526, doi:10.3390/genes13091526. This article has 8 citations and is from a peer-reviewed journal.</w:t>
      </w:r>
    </w:p>
    <w:p>
      <w:pPr>
        <w:numPr>
          <w:ilvl w:val="0"/>
          <w:numId w:val="1006"/>
        </w:numPr>
      </w:pPr>
      <w:r>
        <w:t xml:space="preserve">(tecchio2016developmentofheterocyclica pages 27-31): V Tecchio. Development of heterocyclic scaffolds as inhibitors of splicing kinases. Unknown journal, 2016.</w:t>
      </w:r>
    </w:p>
    <w:p>
      <w:pPr>
        <w:numPr>
          <w:ilvl w:val="0"/>
          <w:numId w:val="1006"/>
        </w:numPr>
      </w:pPr>
      <w:r>
        <w:t xml:space="preserve">(zheng2023serinearginineproteinkinases pages 1-2): Kai Zheng, Zhe Ren, and Yifei Wang. Serine-arginine protein kinases and their targets in viral infection and their inhibition. Cellular and Molecular Life Sciences, May 2023. URL: https://doi.org/10.1007/s00018-023-04808-6, doi:10.1007/s00018-023-04808-6. This article has 9 citations and is from a domain leading peer-reviewed journal.</w:t>
      </w:r>
    </w:p>
    <w:p>
      <w:pPr>
        <w:numPr>
          <w:ilvl w:val="0"/>
          <w:numId w:val="1006"/>
        </w:numPr>
      </w:pPr>
      <w:r>
        <w:t xml:space="preserve">(zheng2023serinearginineproteinkinases pages 13-14): Kai Zheng, Zhe Ren, and Yifei Wang. Serine-arginine protein kinases and their targets in viral infection and their inhibition. Cellular and Molecular Life Sciences, May 2023. URL: https://doi.org/10.1007/s00018-023-04808-6, doi:10.1007/s00018-023-04808-6. This article has 9 citations and is from a domain leading peer-reviewed journal.</w:t>
      </w:r>
    </w:p>
    <w:p>
      <w:pPr>
        <w:numPr>
          <w:ilvl w:val="0"/>
          <w:numId w:val="1006"/>
        </w:numPr>
      </w:pPr>
      <w:r>
        <w:t xml:space="preserve">(zheng2023serinearginineproteinkinases pages 14-15): Kai Zheng, Zhe Ren, and Yifei Wang. Serine-arginine protein kinases and their targets in viral infection and their inhibition. Cellular and Molecular Life Sciences, May 2023. URL: https://doi.org/10.1007/s00018-023-04808-6, doi:10.1007/s00018-023-04808-6. This article has 9 citations and is from a domain leading peer-reviewed journal.</w:t>
      </w:r>
    </w:p>
    <w:p>
      <w:pPr>
        <w:numPr>
          <w:ilvl w:val="0"/>
          <w:numId w:val="1006"/>
        </w:numPr>
      </w:pPr>
      <w:r>
        <w:t xml:space="preserve">(zhou2013regulationofsplicing pages 1-2): Zhihong Zhou and Xiang-Dong Fu. Regulation of splicing by sr proteins and sr protein-specific kinases. Chromosoma, 122:191-207, Mar 2013. URL: https://doi.org/10.1007/s00412-013-0407-z, doi:10.1007/s00412-013-0407-z. This article has 538 citations and is from a peer-reviewed journal.</w:t>
      </w:r>
    </w:p>
    <w:p>
      <w:pPr>
        <w:numPr>
          <w:ilvl w:val="0"/>
          <w:numId w:val="1006"/>
        </w:numPr>
      </w:pPr>
      <w:r>
        <w:t xml:space="preserve">(zhou2013regulationofsplicing pages 14-15): Zhihong Zhou and Xiang-Dong Fu. Regulation of splicing by sr proteins and sr protein-specific kinases. Chromosoma, 122:191-207, Mar 2013. URL: https://doi.org/10.1007/s00412-013-0407-z, doi:10.1007/s00412-013-0407-z. This article has 538 citations and is from a peer-reviewed journal.</w:t>
      </w:r>
    </w:p>
    <w:p>
      <w:pPr>
        <w:numPr>
          <w:ilvl w:val="0"/>
          <w:numId w:val="1006"/>
        </w:numPr>
      </w:pPr>
      <w:r>
        <w:t xml:space="preserve">(zhou2013regulationofsplicing pages 5-7): Zhihong Zhou and Xiang-Dong Fu. Regulation of splicing by sr proteins and sr protein-specific kinases. Chromosoma, 122:191-207, Mar 2013. URL: https://doi.org/10.1007/s00412-013-0407-z, doi:10.1007/s00412-013-0407-z. This article has 538 citations and is from a peer-reviewed journal.</w:t>
      </w:r>
    </w:p>
    <w:p>
      <w:pPr>
        <w:numPr>
          <w:ilvl w:val="0"/>
          <w:numId w:val="1006"/>
        </w:numPr>
      </w:pPr>
      <w:r>
        <w:t xml:space="preserve">(arancibia2019serine–arginineproteinkinase pages 18-19): Duxan Arancibia, Matias Lira, Yocelin Cruz, Daniela P. Barrera, Carolina Montenegro-Venegas, Juan A. Godoy, Craig C. Garner, Nibaldo C. Inestrosa, Eckart D. Gundelfinger, Pedro Zamorano, and Viviana I. Torres. Serine–arginine protein kinase srpk2 modulates the assembly of the active zone scaffolding protein cast1/erc2. Cells, 8:1333, Oct 2019. URL: https://doi.org/10.3390/cells8111333, doi:10.3390/cells8111333. This article has 12 citations and is from a peer-reviewed journal.</w:t>
      </w:r>
    </w:p>
    <w:p>
      <w:pPr>
        <w:numPr>
          <w:ilvl w:val="0"/>
          <w:numId w:val="1006"/>
        </w:numPr>
      </w:pPr>
      <w:r>
        <w:t xml:space="preserve">(arends2019srpk3regulatesalternative pages 16-21): Tessa Arends, J. Matthew Taliaferro, Eric Peterman, Jennifer R. Knapp, Brian P. O’Connor, Raul M. Torres, and James R. Hagman. Srpk3 regulates alternative pre-mrna splicing required for b lymphocyte development and humoral responsiveness. bioRxiv, Sep 2019. URL: https://doi.org/10.1101/759829, doi:10.1101/759829. This article has 0 citations.</w:t>
      </w:r>
    </w:p>
    <w:p>
      <w:pPr>
        <w:numPr>
          <w:ilvl w:val="0"/>
          <w:numId w:val="1006"/>
        </w:numPr>
      </w:pPr>
      <w:r>
        <w:t xml:space="preserve">(camila2023phosphorylationmediatedregulation pages 1-2): Maria Camila, Rodriguez Gallo, R. G. Uhrig, Thomas A. DeFalco, and J. Walley. Phosphorylation mediated regulation of rna splicing in plants. Frontiers in Plant Science, Sep 2023. URL: https://doi.org/10.3389/fpls.2023.1249057, doi:10.3389/fpls.2023.1249057. This article has 9 citations and is from a peer-reviewed journal.</w:t>
      </w:r>
    </w:p>
    <w:p>
      <w:pPr>
        <w:numPr>
          <w:ilvl w:val="0"/>
          <w:numId w:val="1006"/>
        </w:numPr>
      </w:pPr>
      <w:r>
        <w:t xml:space="preserve">(gallo2022genomescaleanalysisof pages 1-2): M. C. Rodriguez Gallo, Q. Li, D. Mehta, and R. G. Uhrig. Genome-scale analysis of arabidopsis splicing-related protein kinase families reveals roles in abiotic stress adaptation. BMC Plant Biology, Oct 2022. URL: https://doi.org/10.1186/s12870-022-03870-9, doi:10.1186/s12870-022-03870-9. This article has 15 citations and is from a peer-reviewed journal.</w:t>
      </w:r>
    </w:p>
    <w:p>
      <w:pPr>
        <w:numPr>
          <w:ilvl w:val="0"/>
          <w:numId w:val="1006"/>
        </w:numPr>
      </w:pPr>
      <w:r>
        <w:t xml:space="preserve">(gallo2022genomescaleanalysisof pages 14-16): M. C. Rodriguez Gallo, Q. Li, D. Mehta, and R. G. Uhrig. Genome-scale analysis of arabidopsis splicing-related protein kinase families reveals roles in abiotic stress adaptation. BMC Plant Biology, Oct 2022. URL: https://doi.org/10.1186/s12870-022-03870-9, doi:10.1186/s12870-022-03870-9. This article has 15 citations and is from a peer-reviewed journal.</w:t>
      </w:r>
    </w:p>
    <w:p>
      <w:pPr>
        <w:numPr>
          <w:ilvl w:val="0"/>
          <w:numId w:val="1006"/>
        </w:numPr>
      </w:pPr>
      <w:r>
        <w:t xml:space="preserve">(haltenhof2020cdc2likekinasesrepresent pages 24-28): T Haltenhof. Cdc2-like kinases represent evolutionarily adapted temperature-sensors, which globally control alternative splicing and gene expression. Unknown journal, 2020. URL: https://doi.org/10.17169/refubium-26535, doi:10.17169/refubium-26535. This article has 2 citations.</w:t>
      </w:r>
    </w:p>
    <w:p>
      <w:pPr>
        <w:numPr>
          <w:ilvl w:val="0"/>
          <w:numId w:val="1006"/>
        </w:numPr>
      </w:pPr>
      <w:r>
        <w:t xml:space="preserve">(moyano2020cdclikekinases(clks) pages 25-26):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6"/>
        </w:numPr>
      </w:pPr>
      <w:r>
        <w:t xml:space="preserve">(naro2013phosphorylationmediatedregulationof pages 11-12): Chiara Naro and Claudio Sette. Phosphorylation-mediated regulation of alternative splicing in cancer. International Journal of Cell Biology, Aug 2013. URL: https://doi.org/10.1155/2013/151839, doi:10.1155/2013/151839. This article has 167 citations and is from a peer-reviewed journal.</w:t>
      </w:r>
    </w:p>
    <w:p>
      <w:pPr>
        <w:numPr>
          <w:ilvl w:val="0"/>
          <w:numId w:val="1006"/>
        </w:numPr>
      </w:pPr>
      <w:r>
        <w:t xml:space="preserve">(naro2013phosphorylationmediatedregulationof pages 3-5): Chiara Naro and Claudio Sette. Phosphorylation-mediated regulation of alternative splicing in cancer. International Journal of Cell Biology, Aug 2013. URL: https://doi.org/10.1155/2013/151839, doi:10.1155/2013/151839. This article has 167 citations and is from a peer-reviewed journal.</w:t>
      </w:r>
    </w:p>
    <w:p>
      <w:pPr>
        <w:numPr>
          <w:ilvl w:val="0"/>
          <w:numId w:val="1006"/>
        </w:numPr>
      </w:pPr>
      <w:r>
        <w:t xml:space="preserve">(ogbonnayauzor2019targetingthesplice pages 79-84): S OgbonnayaUzor. Targeting the splice factor kinase clk1 in prostate cancer cells. Unknown journal, 2019.</w:t>
      </w:r>
    </w:p>
    <w:p>
      <w:pPr>
        <w:numPr>
          <w:ilvl w:val="0"/>
          <w:numId w:val="1006"/>
        </w:numPr>
      </w:pPr>
      <w:r>
        <w:t xml:space="preserve">(siriwath2020cellularactivitiesof pages 34-39): J SIRIWATH and W Kaewkong. Cellular activities of serine-arginine protein kinase inhibitors in cutaneous and ocular melanoma cells. Unknown journal, 2020.</w:t>
      </w:r>
    </w:p>
    <w:p>
      <w:pPr>
        <w:numPr>
          <w:ilvl w:val="0"/>
          <w:numId w:val="1006"/>
        </w:numPr>
      </w:pPr>
      <w:r>
        <w:t xml:space="preserve">(yu2012searchofinhibitors pages 119-120): X Yu. Search of inhibitors that target hiv pre-mrna splicing to overcome drug resistance. Unknown journal, 2012.</w:t>
      </w:r>
    </w:p>
    <w:p>
      <w:pPr>
        <w:numPr>
          <w:ilvl w:val="0"/>
          <w:numId w:val="1006"/>
        </w:numPr>
      </w:pPr>
      <w:r>
        <w:t xml:space="preserve">(alabouh2017targetingsplicefactor pages 48-52): HA Alabouh. Targeting splice factor kinases in chronic myeloid leukaemia. Unknown journal, 2017.</w:t>
      </w:r>
    </w:p>
    <w:p>
      <w:pPr>
        <w:numPr>
          <w:ilvl w:val="0"/>
          <w:numId w:val="1006"/>
        </w:numPr>
      </w:pPr>
      <w:r>
        <w:t xml:space="preserve">(bustos2020functionaldiversificationof pages 34-35): Francisco Bustos, Anna Segarra-Fas, Gino Nardocci, Andrew Cassidy, Odetta Antico, Lennart Brandenburg, Thomas Macartney, Rachel Toth, C. James Hastie, Robert Gourlay, Joby Vargese, Renata Soares, Martin Montecino, and Greg M. Findlay. Functional diversification of ser-arg rich protein kinases to control ubiquitin-dependent neurodevelopmental signalling. BioRxiv, Apr 2020. URL: https://doi.org/10.1101/2020.04.02.005041, doi:10.1101/2020.04.02.005041.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2025-06-18T18:52:47Z</dcterms:created>
  <dcterms:modified xsi:type="dcterms:W3CDTF">2025-06-18T18:52:47Z</dcterms:modified>
</cp:coreProperties>
</file>

<file path=docProps/custom.xml><?xml version="1.0" encoding="utf-8"?>
<Properties xmlns="http://schemas.openxmlformats.org/officeDocument/2006/custom-properties" xmlns:vt="http://schemas.openxmlformats.org/officeDocument/2006/docPropsVTypes"/>
</file>